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B245FA" w:rsidRPr="00B74DC8" w14:paraId="2A531455" w14:textId="77777777" w:rsidTr="00B74DC8">
        <w:trPr>
          <w:trHeight w:val="557"/>
        </w:trPr>
        <w:tc>
          <w:tcPr>
            <w:tcW w:w="1770" w:type="pct"/>
            <w:gridSpan w:val="3"/>
          </w:tcPr>
          <w:p w14:paraId="056BEAE1" w14:textId="7CD62220" w:rsidR="00B245FA" w:rsidRPr="00B74DC8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442A9" w:rsidRPr="00B74DC8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</w:tc>
        <w:tc>
          <w:tcPr>
            <w:tcW w:w="1630" w:type="pct"/>
          </w:tcPr>
          <w:p w14:paraId="0668CB99" w14:textId="77FC87C5" w:rsidR="00B245FA" w:rsidRPr="00B74DC8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340E6" w:rsidRPr="00B74DC8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  <w:p w14:paraId="181E5C95" w14:textId="4EBF65D2" w:rsidR="008C0A32" w:rsidRPr="00B74DC8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600" w:type="pct"/>
          </w:tcPr>
          <w:p w14:paraId="5FD2855C" w14:textId="2DF19B69" w:rsidR="00B245FA" w:rsidRPr="00B74DC8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340E6" w:rsidRPr="00B74DC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74DC8" w14:paraId="736F6FB1" w14:textId="77777777" w:rsidTr="00B74DC8">
        <w:trPr>
          <w:trHeight w:val="412"/>
        </w:trPr>
        <w:tc>
          <w:tcPr>
            <w:tcW w:w="780" w:type="pct"/>
            <w:gridSpan w:val="2"/>
          </w:tcPr>
          <w:p w14:paraId="503FC8A9" w14:textId="77777777" w:rsidR="00B245FA" w:rsidRPr="00B74DC8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3A01D5AF" w14:textId="7CAD2D92" w:rsidR="00B245FA" w:rsidRPr="00B74DC8" w:rsidRDefault="00F340E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  <w:r w:rsidR="00D442A9" w:rsidRPr="00B74DC8">
              <w:rPr>
                <w:rFonts w:ascii="Verdana" w:hAnsi="Verdana"/>
                <w:b/>
                <w:bCs/>
                <w:sz w:val="24"/>
                <w:szCs w:val="24"/>
              </w:rPr>
              <w:t>/Rae</w:t>
            </w:r>
            <w:r w:rsidR="00A00408"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 Salter</w:t>
            </w:r>
          </w:p>
        </w:tc>
      </w:tr>
      <w:tr w:rsidR="00B245FA" w:rsidRPr="00B74DC8" w14:paraId="0B0B2711" w14:textId="77777777" w:rsidTr="00B74DC8">
        <w:trPr>
          <w:trHeight w:val="500"/>
        </w:trPr>
        <w:tc>
          <w:tcPr>
            <w:tcW w:w="5000" w:type="pct"/>
            <w:gridSpan w:val="5"/>
          </w:tcPr>
          <w:p w14:paraId="151CC055" w14:textId="1284C0D3" w:rsidR="00B245FA" w:rsidRPr="00B74DC8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11175" w:rsidRPr="00B74DC8">
              <w:rPr>
                <w:rFonts w:ascii="Verdana" w:hAnsi="Verdana"/>
                <w:b/>
                <w:bCs/>
                <w:sz w:val="24"/>
                <w:szCs w:val="24"/>
              </w:rPr>
              <w:t>Sec</w:t>
            </w:r>
            <w:r w:rsidR="00B74DC8">
              <w:rPr>
                <w:rFonts w:ascii="Verdana" w:hAnsi="Verdana"/>
                <w:b/>
                <w:bCs/>
                <w:sz w:val="24"/>
                <w:szCs w:val="24"/>
              </w:rPr>
              <w:t>ondary</w:t>
            </w:r>
            <w:r w:rsidR="00811175"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 One </w:t>
            </w:r>
            <w:r w:rsidR="00B74DC8">
              <w:rPr>
                <w:rFonts w:ascii="Verdana" w:hAnsi="Verdana"/>
                <w:b/>
                <w:bCs/>
                <w:sz w:val="24"/>
                <w:szCs w:val="24"/>
              </w:rPr>
              <w:t>D</w:t>
            </w:r>
            <w:r w:rsidR="00811175" w:rsidRPr="00B74DC8">
              <w:rPr>
                <w:rFonts w:ascii="Verdana" w:hAnsi="Verdana"/>
                <w:b/>
                <w:bCs/>
                <w:sz w:val="24"/>
                <w:szCs w:val="24"/>
              </w:rPr>
              <w:t>eepening</w:t>
            </w:r>
          </w:p>
        </w:tc>
      </w:tr>
      <w:tr w:rsidR="00B245FA" w:rsidRPr="00B74DC8" w14:paraId="351A68E2" w14:textId="77777777" w:rsidTr="00B74DC8">
        <w:trPr>
          <w:trHeight w:val="500"/>
        </w:trPr>
        <w:tc>
          <w:tcPr>
            <w:tcW w:w="5000" w:type="pct"/>
            <w:gridSpan w:val="5"/>
          </w:tcPr>
          <w:p w14:paraId="45E674C4" w14:textId="36C3AD0E" w:rsidR="00B245FA" w:rsidRPr="00B74DC8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 w:rsidRPr="00B74DC8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D442A9" w:rsidRPr="00B74DC8">
              <w:rPr>
                <w:rFonts w:ascii="Verdana" w:hAnsi="Verdana"/>
                <w:b/>
                <w:bCs/>
                <w:sz w:val="24"/>
                <w:szCs w:val="24"/>
              </w:rPr>
              <w:t>Healthy pregnancy</w:t>
            </w:r>
            <w:r w:rsidR="00811175" w:rsidRPr="00B74DC8">
              <w:rPr>
                <w:rFonts w:ascii="Verdana" w:hAnsi="Verdana"/>
                <w:b/>
                <w:bCs/>
                <w:sz w:val="24"/>
                <w:szCs w:val="24"/>
              </w:rPr>
              <w:t xml:space="preserve">/ </w:t>
            </w:r>
            <w:r w:rsidR="00A00408" w:rsidRPr="00B74DC8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</w:p>
        </w:tc>
      </w:tr>
      <w:tr w:rsidR="00687AF6" w:rsidRPr="00B74DC8" w14:paraId="358C24DA" w14:textId="77777777" w:rsidTr="00B74DC8">
        <w:trPr>
          <w:trHeight w:val="537"/>
        </w:trPr>
        <w:tc>
          <w:tcPr>
            <w:tcW w:w="552" w:type="pct"/>
          </w:tcPr>
          <w:p w14:paraId="51366C3C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</w:tcPr>
          <w:p w14:paraId="2FE3143D" w14:textId="00AFAB67" w:rsidR="00B245FA" w:rsidRPr="00B74DC8" w:rsidRDefault="00D442A9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H30 (KS4) about healthy pregnancy and how lifestyle choices affect a developing foetus</w:t>
            </w:r>
          </w:p>
        </w:tc>
      </w:tr>
      <w:tr w:rsidR="00687AF6" w:rsidRPr="00B74DC8" w14:paraId="73FCEE28" w14:textId="77777777" w:rsidTr="00B74DC8">
        <w:trPr>
          <w:trHeight w:val="537"/>
        </w:trPr>
        <w:tc>
          <w:tcPr>
            <w:tcW w:w="552" w:type="pct"/>
          </w:tcPr>
          <w:p w14:paraId="5C6E9DFA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2</w:t>
            </w:r>
          </w:p>
          <w:p w14:paraId="1AAF7769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5884A6B9" w14:textId="40022FE1" w:rsidR="00B245FA" w:rsidRPr="00B74DC8" w:rsidRDefault="00D442A9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H31. (KS4) that fertility can vary in all people, changes over time (including menopause) and can be affected by STIs and other lifestyle factors</w:t>
            </w:r>
          </w:p>
        </w:tc>
      </w:tr>
      <w:tr w:rsidR="00687AF6" w:rsidRPr="00B74DC8" w14:paraId="4E0D80F6" w14:textId="77777777" w:rsidTr="00B74DC8">
        <w:trPr>
          <w:trHeight w:val="537"/>
        </w:trPr>
        <w:tc>
          <w:tcPr>
            <w:tcW w:w="552" w:type="pct"/>
          </w:tcPr>
          <w:p w14:paraId="49496466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3</w:t>
            </w:r>
          </w:p>
          <w:p w14:paraId="1F9D7E3D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7800B430" w14:textId="2EF39BE3" w:rsidR="00B245FA" w:rsidRPr="00B74DC8" w:rsidRDefault="00CA0FC3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H32.  (KS4) about the possibility of miscarriage and support available to people who are not able to conceive or maintain a pregnancy</w:t>
            </w:r>
          </w:p>
        </w:tc>
      </w:tr>
      <w:tr w:rsidR="00687AF6" w:rsidRPr="00B74DC8" w14:paraId="5F8539E1" w14:textId="77777777" w:rsidTr="00B74DC8">
        <w:trPr>
          <w:trHeight w:val="537"/>
        </w:trPr>
        <w:tc>
          <w:tcPr>
            <w:tcW w:w="552" w:type="pct"/>
          </w:tcPr>
          <w:p w14:paraId="77192A04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</w:tcPr>
          <w:p w14:paraId="1B6DD4B1" w14:textId="52B02270" w:rsidR="00B245FA" w:rsidRPr="00B74DC8" w:rsidRDefault="00CA0FC3" w:rsidP="00687AF6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H33 (KS4) about choices and support available in the event of an unplanned pregnancy and how to access appropriate help and advice</w:t>
            </w:r>
          </w:p>
        </w:tc>
      </w:tr>
      <w:tr w:rsidR="00687AF6" w:rsidRPr="00B74DC8" w14:paraId="5F8F9DF1" w14:textId="77777777" w:rsidTr="00B74DC8">
        <w:trPr>
          <w:trHeight w:val="537"/>
        </w:trPr>
        <w:tc>
          <w:tcPr>
            <w:tcW w:w="552" w:type="pct"/>
          </w:tcPr>
          <w:p w14:paraId="150A53B1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</w:tcPr>
          <w:p w14:paraId="483976CE" w14:textId="4A260DC2" w:rsidR="00B245FA" w:rsidRPr="00B74DC8" w:rsidRDefault="00811175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R3 (KS4) to respond appropriately to indicators of unhealthy relationships, including seeking help where necessary</w:t>
            </w:r>
          </w:p>
        </w:tc>
      </w:tr>
      <w:tr w:rsidR="00687AF6" w:rsidRPr="00B74DC8" w14:paraId="6E33B8A5" w14:textId="77777777" w:rsidTr="00B74DC8">
        <w:trPr>
          <w:trHeight w:val="537"/>
        </w:trPr>
        <w:tc>
          <w:tcPr>
            <w:tcW w:w="552" w:type="pct"/>
          </w:tcPr>
          <w:p w14:paraId="23AB0FFA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</w:tcPr>
          <w:p w14:paraId="7490B319" w14:textId="30EABAF9" w:rsidR="00B245FA" w:rsidRPr="00B74DC8" w:rsidRDefault="00811175" w:rsidP="007707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R4. (KS4) the importance of stable, committed relationships, including the rights and protections provided within legally recognised marriages and civil partnerships and the legal status of other long-term relationships</w:t>
            </w:r>
          </w:p>
        </w:tc>
      </w:tr>
      <w:tr w:rsidR="00687AF6" w:rsidRPr="00B74DC8" w14:paraId="604C67E2" w14:textId="77777777" w:rsidTr="00B74DC8">
        <w:trPr>
          <w:trHeight w:val="537"/>
        </w:trPr>
        <w:tc>
          <w:tcPr>
            <w:tcW w:w="552" w:type="pct"/>
          </w:tcPr>
          <w:p w14:paraId="513F87CE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</w:tcPr>
          <w:p w14:paraId="0D49B90A" w14:textId="6DC6131C" w:rsidR="00B245FA" w:rsidRPr="00B74DC8" w:rsidRDefault="00811175" w:rsidP="00770758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R5.  the legal rights, responsibilities and protections provided by the Equality Act 2010</w:t>
            </w:r>
          </w:p>
        </w:tc>
      </w:tr>
      <w:tr w:rsidR="00687AF6" w:rsidRPr="00B74DC8" w14:paraId="7E3033AF" w14:textId="77777777" w:rsidTr="00B74DC8">
        <w:trPr>
          <w:trHeight w:val="537"/>
        </w:trPr>
        <w:tc>
          <w:tcPr>
            <w:tcW w:w="552" w:type="pct"/>
          </w:tcPr>
          <w:p w14:paraId="6E3A2C3B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8</w:t>
            </w:r>
          </w:p>
        </w:tc>
        <w:tc>
          <w:tcPr>
            <w:tcW w:w="4448" w:type="pct"/>
            <w:gridSpan w:val="4"/>
          </w:tcPr>
          <w:p w14:paraId="48BFB930" w14:textId="3813A0B9" w:rsidR="00B245FA" w:rsidRPr="00B74DC8" w:rsidRDefault="00811175" w:rsidP="00770758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R6 (KS4) about diversity in romantic and sexual attraction and developing sexuality, including advice and reassurance and how to access them</w:t>
            </w:r>
          </w:p>
        </w:tc>
      </w:tr>
      <w:tr w:rsidR="00687AF6" w:rsidRPr="00B74DC8" w14:paraId="23CC12AA" w14:textId="77777777" w:rsidTr="00B74DC8">
        <w:trPr>
          <w:trHeight w:val="537"/>
        </w:trPr>
        <w:tc>
          <w:tcPr>
            <w:tcW w:w="552" w:type="pct"/>
          </w:tcPr>
          <w:p w14:paraId="1A3BCB32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9</w:t>
            </w:r>
          </w:p>
        </w:tc>
        <w:tc>
          <w:tcPr>
            <w:tcW w:w="4448" w:type="pct"/>
            <w:gridSpan w:val="4"/>
          </w:tcPr>
          <w:p w14:paraId="02EEF224" w14:textId="62D348C8" w:rsidR="00B245FA" w:rsidRPr="00B74DC8" w:rsidRDefault="00811175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R7 (KS4) strategies to access reliable, accurate and appropriate support with relationships and to assist others to access it when needed</w:t>
            </w:r>
          </w:p>
        </w:tc>
      </w:tr>
      <w:tr w:rsidR="00687AF6" w:rsidRPr="00B74DC8" w14:paraId="76BC0C43" w14:textId="77777777" w:rsidTr="00B74DC8">
        <w:trPr>
          <w:trHeight w:val="537"/>
        </w:trPr>
        <w:tc>
          <w:tcPr>
            <w:tcW w:w="552" w:type="pct"/>
          </w:tcPr>
          <w:p w14:paraId="66F4D774" w14:textId="77777777" w:rsidR="00B245FA" w:rsidRPr="00B74DC8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10</w:t>
            </w:r>
          </w:p>
        </w:tc>
        <w:tc>
          <w:tcPr>
            <w:tcW w:w="4448" w:type="pct"/>
            <w:gridSpan w:val="4"/>
          </w:tcPr>
          <w:p w14:paraId="59FA69DC" w14:textId="169B25A1" w:rsidR="00B245FA" w:rsidRPr="00B74DC8" w:rsidRDefault="00811175" w:rsidP="007707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R28.  (KS4) to recognise when others are using manipulation, persuasion or coercion and how to respond</w:t>
            </w:r>
          </w:p>
        </w:tc>
      </w:tr>
      <w:tr w:rsidR="00F340E6" w:rsidRPr="00B74DC8" w14:paraId="6CA86D57" w14:textId="77777777" w:rsidTr="00B74DC8">
        <w:trPr>
          <w:trHeight w:val="537"/>
        </w:trPr>
        <w:tc>
          <w:tcPr>
            <w:tcW w:w="552" w:type="pct"/>
          </w:tcPr>
          <w:p w14:paraId="2FDBA2DF" w14:textId="49D671BD" w:rsidR="00F340E6" w:rsidRPr="00B74DC8" w:rsidRDefault="00F340E6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11</w:t>
            </w:r>
          </w:p>
        </w:tc>
        <w:tc>
          <w:tcPr>
            <w:tcW w:w="4448" w:type="pct"/>
            <w:gridSpan w:val="4"/>
          </w:tcPr>
          <w:p w14:paraId="18040109" w14:textId="5E9BFE77" w:rsidR="00F340E6" w:rsidRPr="00B74DC8" w:rsidRDefault="00811175" w:rsidP="007707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R30 (KS4) to recognise when a relationship is abusive and strategies to manage this</w:t>
            </w:r>
          </w:p>
        </w:tc>
      </w:tr>
    </w:tbl>
    <w:p w14:paraId="64D325E1" w14:textId="77777777" w:rsidR="00B74DC8" w:rsidRDefault="00B74DC8">
      <w:pPr>
        <w:rPr>
          <w:rFonts w:cstheme="minorHAnsi"/>
          <w:sz w:val="24"/>
          <w:szCs w:val="24"/>
        </w:rPr>
      </w:pPr>
    </w:p>
    <w:p w14:paraId="4D50AA4D" w14:textId="76CBDF6F" w:rsidR="00C96B26" w:rsidRPr="00B74DC8" w:rsidRDefault="00920585">
      <w:pPr>
        <w:rPr>
          <w:rFonts w:ascii="Verdana" w:hAnsi="Verdana" w:cstheme="minorHAnsi"/>
          <w:sz w:val="24"/>
          <w:szCs w:val="24"/>
        </w:rPr>
      </w:pPr>
      <w:r w:rsidRPr="00B74DC8">
        <w:rPr>
          <w:rFonts w:ascii="Verdana" w:hAnsi="Verdana" w:cstheme="minorHAnsi"/>
          <w:sz w:val="24"/>
          <w:szCs w:val="24"/>
        </w:rPr>
        <w:t>Tier Three Keywords: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25"/>
        <w:gridCol w:w="1750"/>
        <w:gridCol w:w="1697"/>
        <w:gridCol w:w="1898"/>
        <w:gridCol w:w="1690"/>
        <w:gridCol w:w="1696"/>
      </w:tblGrid>
      <w:tr w:rsidR="00B26AC4" w:rsidRPr="00B74DC8" w14:paraId="56E7C716" w14:textId="77777777" w:rsidTr="00B74DC8">
        <w:tc>
          <w:tcPr>
            <w:tcW w:w="829" w:type="pct"/>
          </w:tcPr>
          <w:p w14:paraId="3ED141E8" w14:textId="3927678E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Fertility</w:t>
            </w:r>
          </w:p>
        </w:tc>
        <w:tc>
          <w:tcPr>
            <w:tcW w:w="816" w:type="pct"/>
          </w:tcPr>
          <w:p w14:paraId="7CDA4861" w14:textId="15FEA11A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Menopause</w:t>
            </w:r>
          </w:p>
        </w:tc>
        <w:tc>
          <w:tcPr>
            <w:tcW w:w="816" w:type="pct"/>
          </w:tcPr>
          <w:p w14:paraId="5D17AF0B" w14:textId="0A735203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Conceive</w:t>
            </w:r>
          </w:p>
        </w:tc>
        <w:tc>
          <w:tcPr>
            <w:tcW w:w="908" w:type="pct"/>
          </w:tcPr>
          <w:p w14:paraId="70A311EF" w14:textId="32E468FB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Contraception</w:t>
            </w:r>
          </w:p>
        </w:tc>
        <w:tc>
          <w:tcPr>
            <w:tcW w:w="816" w:type="pct"/>
          </w:tcPr>
          <w:p w14:paraId="3AF3EEF7" w14:textId="0F1A4E50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Termination</w:t>
            </w:r>
          </w:p>
        </w:tc>
        <w:tc>
          <w:tcPr>
            <w:tcW w:w="816" w:type="pct"/>
          </w:tcPr>
          <w:p w14:paraId="3B235E5C" w14:textId="38C55CBE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Miscarriage</w:t>
            </w:r>
          </w:p>
        </w:tc>
      </w:tr>
      <w:tr w:rsidR="00B26AC4" w:rsidRPr="00B74DC8" w14:paraId="5DC8C621" w14:textId="77777777" w:rsidTr="00B74DC8">
        <w:tc>
          <w:tcPr>
            <w:tcW w:w="829" w:type="pct"/>
          </w:tcPr>
          <w:p w14:paraId="14CD84C4" w14:textId="541367B2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Counselling</w:t>
            </w:r>
          </w:p>
        </w:tc>
        <w:tc>
          <w:tcPr>
            <w:tcW w:w="816" w:type="pct"/>
          </w:tcPr>
          <w:p w14:paraId="2B6B0AA7" w14:textId="65CE64AD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Foetus</w:t>
            </w:r>
          </w:p>
        </w:tc>
        <w:tc>
          <w:tcPr>
            <w:tcW w:w="816" w:type="pct"/>
          </w:tcPr>
          <w:p w14:paraId="44846C07" w14:textId="48D4E17E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Diversity</w:t>
            </w:r>
          </w:p>
        </w:tc>
        <w:tc>
          <w:tcPr>
            <w:tcW w:w="908" w:type="pct"/>
          </w:tcPr>
          <w:p w14:paraId="27312DB3" w14:textId="3C494569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Protections</w:t>
            </w:r>
          </w:p>
        </w:tc>
        <w:tc>
          <w:tcPr>
            <w:tcW w:w="816" w:type="pct"/>
          </w:tcPr>
          <w:p w14:paraId="24B2E7BF" w14:textId="6B078800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Sexuality</w:t>
            </w:r>
          </w:p>
        </w:tc>
        <w:tc>
          <w:tcPr>
            <w:tcW w:w="816" w:type="pct"/>
          </w:tcPr>
          <w:p w14:paraId="7E715B4E" w14:textId="313294BF" w:rsidR="00920585" w:rsidRPr="00B74DC8" w:rsidRDefault="00B26AC4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Attraction</w:t>
            </w:r>
          </w:p>
        </w:tc>
      </w:tr>
      <w:tr w:rsidR="00B74DC8" w:rsidRPr="00B74DC8" w14:paraId="333D59DA" w14:textId="77777777" w:rsidTr="00B74DC8">
        <w:tc>
          <w:tcPr>
            <w:tcW w:w="829" w:type="pct"/>
            <w:shd w:val="clear" w:color="auto" w:fill="D9D9D9" w:themeFill="background1" w:themeFillShade="D9"/>
          </w:tcPr>
          <w:p w14:paraId="7A65D77F" w14:textId="3C1D389D" w:rsidR="00B74DC8" w:rsidRPr="00B74DC8" w:rsidRDefault="00B74DC8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816" w:type="pct"/>
          </w:tcPr>
          <w:p w14:paraId="3009187A" w14:textId="16C8B9D1" w:rsidR="00B74DC8" w:rsidRPr="00B74DC8" w:rsidRDefault="00B74DC8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Manipulation</w:t>
            </w:r>
          </w:p>
        </w:tc>
        <w:tc>
          <w:tcPr>
            <w:tcW w:w="816" w:type="pct"/>
          </w:tcPr>
          <w:p w14:paraId="67FCC52D" w14:textId="2D8D547A" w:rsidR="00B74DC8" w:rsidRPr="00B74DC8" w:rsidRDefault="00B74DC8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Persuasion</w:t>
            </w:r>
          </w:p>
        </w:tc>
        <w:tc>
          <w:tcPr>
            <w:tcW w:w="908" w:type="pct"/>
          </w:tcPr>
          <w:p w14:paraId="67254CC7" w14:textId="21EEA616" w:rsidR="00B74DC8" w:rsidRPr="00B74DC8" w:rsidRDefault="00B74DC8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Coercion</w:t>
            </w:r>
          </w:p>
        </w:tc>
        <w:tc>
          <w:tcPr>
            <w:tcW w:w="816" w:type="pct"/>
            <w:shd w:val="clear" w:color="auto" w:fill="auto"/>
          </w:tcPr>
          <w:p w14:paraId="1CFF4AAF" w14:textId="5B6664B2" w:rsidR="00B74DC8" w:rsidRPr="00B74DC8" w:rsidRDefault="00B74DC8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B74DC8">
              <w:rPr>
                <w:rFonts w:ascii="Verdana" w:hAnsi="Verdana" w:cstheme="minorHAnsi"/>
                <w:sz w:val="24"/>
                <w:szCs w:val="24"/>
              </w:rPr>
              <w:t>Abusive</w:t>
            </w:r>
          </w:p>
        </w:tc>
        <w:tc>
          <w:tcPr>
            <w:tcW w:w="816" w:type="pct"/>
            <w:shd w:val="clear" w:color="auto" w:fill="D9D9D9" w:themeFill="background1" w:themeFillShade="D9"/>
          </w:tcPr>
          <w:p w14:paraId="08E0CDA1" w14:textId="77777777" w:rsidR="00B74DC8" w:rsidRPr="00B74DC8" w:rsidRDefault="00B74DC8" w:rsidP="00B74DC8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69349A67" w14:textId="77777777" w:rsidR="00B74DC8" w:rsidRPr="00B74DC8" w:rsidRDefault="00B74DC8">
      <w:pPr>
        <w:rPr>
          <w:rFonts w:ascii="Verdana" w:hAnsi="Verdana" w:cstheme="minorHAnsi"/>
          <w:sz w:val="24"/>
          <w:szCs w:val="24"/>
        </w:rPr>
      </w:pPr>
    </w:p>
    <w:p w14:paraId="5ECA3170" w14:textId="08DB8972" w:rsidR="00C96B26" w:rsidRPr="00B74DC8" w:rsidRDefault="00920585">
      <w:pPr>
        <w:rPr>
          <w:rFonts w:ascii="Verdana" w:hAnsi="Verdana" w:cstheme="minorHAnsi"/>
          <w:sz w:val="24"/>
          <w:szCs w:val="24"/>
        </w:rPr>
      </w:pPr>
      <w:r w:rsidRPr="00B74DC8">
        <w:rPr>
          <w:rFonts w:ascii="Verdana" w:hAnsi="Verdana" w:cstheme="minorHAnsi"/>
          <w:sz w:val="24"/>
          <w:szCs w:val="24"/>
        </w:rPr>
        <w:t>Recommended Reading:</w:t>
      </w:r>
    </w:p>
    <w:tbl>
      <w:tblPr>
        <w:tblStyle w:val="TableGrid"/>
        <w:tblpPr w:leftFromText="180" w:rightFromText="180" w:vertAnchor="text" w:horzAnchor="margin" w:tblpXSpec="right" w:tblpY="299"/>
        <w:tblW w:w="0" w:type="auto"/>
        <w:tblLook w:val="04A0" w:firstRow="1" w:lastRow="0" w:firstColumn="1" w:lastColumn="0" w:noHBand="0" w:noVBand="1"/>
      </w:tblPr>
      <w:tblGrid>
        <w:gridCol w:w="8595"/>
      </w:tblGrid>
      <w:tr w:rsidR="00B74DC8" w:rsidRPr="000F0972" w14:paraId="31EE163A" w14:textId="77777777" w:rsidTr="00B47373">
        <w:trPr>
          <w:trHeight w:val="3109"/>
        </w:trPr>
        <w:tc>
          <w:tcPr>
            <w:tcW w:w="8595" w:type="dxa"/>
            <w:vAlign w:val="bottom"/>
          </w:tcPr>
          <w:p w14:paraId="2837CCC4" w14:textId="77777777" w:rsidR="00B74DC8" w:rsidRPr="000F0972" w:rsidRDefault="00B74DC8" w:rsidP="00B47373">
            <w:pPr>
              <w:pStyle w:val="NormalWeb"/>
              <w:shd w:val="clear" w:color="auto" w:fill="FFFFFF"/>
              <w:spacing w:before="0" w:beforeAutospacing="0" w:after="180" w:afterAutospacing="0" w:line="375" w:lineRule="atLeast"/>
              <w:jc w:val="right"/>
              <w:rPr>
                <w:rFonts w:ascii="Verdana" w:hAnsi="Verdana"/>
                <w:color w:val="000000"/>
                <w:spacing w:val="7"/>
                <w:sz w:val="18"/>
                <w:szCs w:val="18"/>
              </w:rPr>
            </w:pP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In </w:t>
            </w:r>
            <w:r w:rsidRPr="000F0972">
              <w:rPr>
                <w:rFonts w:ascii="Verdana" w:hAnsi="Verdana"/>
                <w:i/>
                <w:iCs/>
                <w:color w:val="000000"/>
                <w:spacing w:val="7"/>
                <w:sz w:val="18"/>
                <w:szCs w:val="18"/>
              </w:rPr>
              <w:t>Boys Don't Cry</w:t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, bestselling author Malorie Blackman explores the unchartered territory of teenage fatherhood.  You're waiting for the postman - he's bringing your A level results. University, a career as a journalist - a glittering future lies ahead. But when the doorbell rings it's your old girlfriend; and she's carrying a baby. Your baby.  You're happy to look after it, just for an hour or two. But then she doesn't come back - and your future suddenly looks very different.  Malorie's dramatic new novel will take you on a journey from tears to laughter and back again.</w:t>
            </w:r>
          </w:p>
          <w:p w14:paraId="7FB7315F" w14:textId="77777777" w:rsidR="00B74DC8" w:rsidRPr="000F0972" w:rsidRDefault="00B74DC8" w:rsidP="00B47373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8"/>
                <w:szCs w:val="18"/>
                <w:lang w:eastAsia="en-GB"/>
              </w:rPr>
            </w:pPr>
          </w:p>
        </w:tc>
      </w:tr>
    </w:tbl>
    <w:p w14:paraId="1C76E45F" w14:textId="17C90366" w:rsidR="00C96B26" w:rsidRPr="00687AF6" w:rsidRDefault="00B74DC8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5941183" wp14:editId="6C707D91">
            <wp:simplePos x="0" y="0"/>
            <wp:positionH relativeFrom="margin">
              <wp:posOffset>0</wp:posOffset>
            </wp:positionH>
            <wp:positionV relativeFrom="paragraph">
              <wp:posOffset>300355</wp:posOffset>
            </wp:positionV>
            <wp:extent cx="988060" cy="1485900"/>
            <wp:effectExtent l="0" t="0" r="2540" b="0"/>
            <wp:wrapTight wrapText="bothSides">
              <wp:wrapPolygon edited="0">
                <wp:start x="0" y="0"/>
                <wp:lineTo x="0" y="21323"/>
                <wp:lineTo x="21239" y="21323"/>
                <wp:lineTo x="212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6B26" w:rsidRPr="00687AF6" w:rsidSect="00B74D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E5368"/>
    <w:multiLevelType w:val="multilevel"/>
    <w:tmpl w:val="14A8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D70EC"/>
    <w:rsid w:val="00455F38"/>
    <w:rsid w:val="005C2ADA"/>
    <w:rsid w:val="00687AF6"/>
    <w:rsid w:val="00695526"/>
    <w:rsid w:val="00770758"/>
    <w:rsid w:val="007E5C02"/>
    <w:rsid w:val="00811175"/>
    <w:rsid w:val="0082039C"/>
    <w:rsid w:val="00846C0E"/>
    <w:rsid w:val="00877415"/>
    <w:rsid w:val="008C0A32"/>
    <w:rsid w:val="008D477B"/>
    <w:rsid w:val="008F6C26"/>
    <w:rsid w:val="00920585"/>
    <w:rsid w:val="009352F5"/>
    <w:rsid w:val="00962953"/>
    <w:rsid w:val="009D0BFB"/>
    <w:rsid w:val="009E6F6F"/>
    <w:rsid w:val="00A00408"/>
    <w:rsid w:val="00AD03F7"/>
    <w:rsid w:val="00AF4C1A"/>
    <w:rsid w:val="00B10A0F"/>
    <w:rsid w:val="00B245FA"/>
    <w:rsid w:val="00B26AC4"/>
    <w:rsid w:val="00B74DC8"/>
    <w:rsid w:val="00C96B26"/>
    <w:rsid w:val="00CA0FC3"/>
    <w:rsid w:val="00D442A9"/>
    <w:rsid w:val="00D944D3"/>
    <w:rsid w:val="00F04698"/>
    <w:rsid w:val="00F3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A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list-item">
    <w:name w:val="a-list-item"/>
    <w:basedOn w:val="DefaultParagraphFont"/>
    <w:rsid w:val="00B26AC4"/>
  </w:style>
  <w:style w:type="paragraph" w:styleId="NormalWeb">
    <w:name w:val="Normal (Web)"/>
    <w:basedOn w:val="Normal"/>
    <w:uiPriority w:val="99"/>
    <w:semiHidden/>
    <w:unhideWhenUsed/>
    <w:rsid w:val="00B26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B26AC4"/>
  </w:style>
  <w:style w:type="character" w:customStyle="1" w:styleId="Heading1Char">
    <w:name w:val="Heading 1 Char"/>
    <w:basedOn w:val="DefaultParagraphFont"/>
    <w:link w:val="Heading1"/>
    <w:uiPriority w:val="9"/>
    <w:rsid w:val="00B26A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B26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5</cp:revision>
  <dcterms:created xsi:type="dcterms:W3CDTF">2025-05-01T14:31:00Z</dcterms:created>
  <dcterms:modified xsi:type="dcterms:W3CDTF">2025-06-25T12:15:00Z</dcterms:modified>
</cp:coreProperties>
</file>