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5000" w:type="pct"/>
        <w:tblLook w:val="04A0" w:firstRow="1" w:lastRow="0" w:firstColumn="1" w:lastColumn="0" w:noHBand="0" w:noVBand="1"/>
      </w:tblPr>
      <w:tblGrid>
        <w:gridCol w:w="1154"/>
        <w:gridCol w:w="477"/>
        <w:gridCol w:w="2070"/>
        <w:gridCol w:w="3409"/>
        <w:gridCol w:w="3346"/>
      </w:tblGrid>
      <w:tr w:rsidR="00B245FA" w:rsidRPr="00533E2F" w14:paraId="2A531455" w14:textId="77777777" w:rsidTr="00533E2F">
        <w:trPr>
          <w:trHeight w:val="557"/>
        </w:trPr>
        <w:tc>
          <w:tcPr>
            <w:tcW w:w="1770" w:type="pct"/>
            <w:gridSpan w:val="3"/>
          </w:tcPr>
          <w:p w14:paraId="056BEAE1" w14:textId="6C35E2D3" w:rsidR="00B245FA" w:rsidRPr="00533E2F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33E2F" w:rsidRPr="00533E2F">
              <w:rPr>
                <w:rFonts w:ascii="Verdana" w:hAnsi="Verdana"/>
                <w:b/>
                <w:bCs/>
                <w:sz w:val="24"/>
                <w:szCs w:val="24"/>
              </w:rPr>
              <w:t>WR0</w:t>
            </w:r>
            <w:r w:rsidR="00790BCD">
              <w:rPr>
                <w:rFonts w:ascii="Verdana" w:hAnsi="Verdan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630" w:type="pct"/>
          </w:tcPr>
          <w:p w14:paraId="0668CB99" w14:textId="77777777" w:rsidR="00B245FA" w:rsidRPr="00533E2F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33FD79B" w:rsidR="008C0A32" w:rsidRPr="00533E2F" w:rsidRDefault="00387F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1600" w:type="pct"/>
          </w:tcPr>
          <w:p w14:paraId="5FD2855C" w14:textId="06E0372A" w:rsidR="00B245FA" w:rsidRPr="00533E2F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533E2F" w:rsidRPr="00533E2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533E2F" w14:paraId="736F6FB1" w14:textId="77777777" w:rsidTr="00533E2F">
        <w:trPr>
          <w:trHeight w:val="412"/>
        </w:trPr>
        <w:tc>
          <w:tcPr>
            <w:tcW w:w="780" w:type="pct"/>
            <w:gridSpan w:val="2"/>
          </w:tcPr>
          <w:p w14:paraId="503FC8A9" w14:textId="77777777" w:rsidR="00B245FA" w:rsidRPr="00533E2F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220" w:type="pct"/>
            <w:gridSpan w:val="3"/>
          </w:tcPr>
          <w:p w14:paraId="3A01D5AF" w14:textId="5452E43C" w:rsidR="00B245FA" w:rsidRPr="00533E2F" w:rsidRDefault="00790BCD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Lucy</w:t>
            </w:r>
          </w:p>
        </w:tc>
      </w:tr>
      <w:tr w:rsidR="00B245FA" w:rsidRPr="00533E2F" w14:paraId="0B0B2711" w14:textId="77777777" w:rsidTr="00533E2F">
        <w:trPr>
          <w:trHeight w:val="500"/>
        </w:trPr>
        <w:tc>
          <w:tcPr>
            <w:tcW w:w="5000" w:type="pct"/>
            <w:gridSpan w:val="5"/>
          </w:tcPr>
          <w:p w14:paraId="151CC055" w14:textId="277A7152" w:rsidR="00B245FA" w:rsidRPr="00533E2F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387FE0"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8F0343" w:rsidRPr="00533E2F">
              <w:rPr>
                <w:rFonts w:ascii="Verdana" w:hAnsi="Verdana"/>
                <w:b/>
                <w:bCs/>
                <w:sz w:val="24"/>
                <w:szCs w:val="24"/>
              </w:rPr>
              <w:t>One</w:t>
            </w:r>
          </w:p>
        </w:tc>
      </w:tr>
      <w:tr w:rsidR="00B245FA" w:rsidRPr="00533E2F" w14:paraId="351A68E2" w14:textId="77777777" w:rsidTr="00533E2F">
        <w:trPr>
          <w:trHeight w:val="500"/>
        </w:trPr>
        <w:tc>
          <w:tcPr>
            <w:tcW w:w="5000" w:type="pct"/>
            <w:gridSpan w:val="5"/>
          </w:tcPr>
          <w:p w14:paraId="45E674C4" w14:textId="00753641" w:rsidR="00B245FA" w:rsidRPr="00533E2F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 w:rsidRPr="00533E2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533E2F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387FE0" w:rsidRPr="00533E2F">
              <w:rPr>
                <w:rFonts w:ascii="Verdana" w:hAnsi="Verdana"/>
                <w:b/>
                <w:bCs/>
                <w:sz w:val="24"/>
                <w:szCs w:val="24"/>
              </w:rPr>
              <w:t>Relationships</w:t>
            </w:r>
          </w:p>
        </w:tc>
      </w:tr>
      <w:tr w:rsidR="00687AF6" w:rsidRPr="00533E2F" w14:paraId="358C24DA" w14:textId="77777777" w:rsidTr="00533E2F">
        <w:trPr>
          <w:trHeight w:val="537"/>
        </w:trPr>
        <w:tc>
          <w:tcPr>
            <w:tcW w:w="552" w:type="pct"/>
          </w:tcPr>
          <w:p w14:paraId="51366C3C" w14:textId="77777777" w:rsidR="00B245FA" w:rsidRPr="00533E2F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1</w:t>
            </w:r>
          </w:p>
        </w:tc>
        <w:tc>
          <w:tcPr>
            <w:tcW w:w="4448" w:type="pct"/>
            <w:gridSpan w:val="4"/>
          </w:tcPr>
          <w:p w14:paraId="2FE3143D" w14:textId="44B9A8F3" w:rsidR="00B245FA" w:rsidRPr="00533E2F" w:rsidRDefault="00C7031D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To review learning about reproduction.</w:t>
            </w:r>
          </w:p>
        </w:tc>
      </w:tr>
      <w:tr w:rsidR="00687AF6" w:rsidRPr="00533E2F" w14:paraId="73FCEE28" w14:textId="77777777" w:rsidTr="00533E2F">
        <w:trPr>
          <w:trHeight w:val="537"/>
        </w:trPr>
        <w:tc>
          <w:tcPr>
            <w:tcW w:w="552" w:type="pct"/>
          </w:tcPr>
          <w:p w14:paraId="5C6E9DFA" w14:textId="77777777" w:rsidR="00B245FA" w:rsidRPr="00533E2F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2</w:t>
            </w:r>
          </w:p>
          <w:p w14:paraId="1AAF7769" w14:textId="77777777" w:rsidR="00B245FA" w:rsidRPr="00533E2F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  <w:tc>
          <w:tcPr>
            <w:tcW w:w="4448" w:type="pct"/>
            <w:gridSpan w:val="4"/>
          </w:tcPr>
          <w:p w14:paraId="7BE1C5D4" w14:textId="335B67EB" w:rsidR="008F0343" w:rsidRPr="00533E2F" w:rsidRDefault="008F0343" w:rsidP="008F0343">
            <w:pPr>
              <w:autoSpaceDE w:val="0"/>
              <w:autoSpaceDN w:val="0"/>
              <w:adjustRightInd w:val="0"/>
              <w:rPr>
                <w:rFonts w:ascii="Verdana" w:hAnsi="Verdana" w:cs="Lato-Light"/>
              </w:rPr>
            </w:pPr>
            <w:r w:rsidRPr="00533E2F">
              <w:rPr>
                <w:rFonts w:ascii="Verdana" w:hAnsi="Verdana" w:cs="Lato-Light"/>
              </w:rPr>
              <w:t>To understand about different types of relationships, including those within families, friendships, romantic or intimate relationships and the factors that can affect them</w:t>
            </w:r>
          </w:p>
          <w:p w14:paraId="5884A6B9" w14:textId="1F5A17AE" w:rsidR="00B245FA" w:rsidRPr="00533E2F" w:rsidRDefault="00B245FA" w:rsidP="00387FE0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87AF6" w:rsidRPr="00533E2F" w14:paraId="4E0D80F6" w14:textId="77777777" w:rsidTr="00533E2F">
        <w:trPr>
          <w:trHeight w:val="537"/>
        </w:trPr>
        <w:tc>
          <w:tcPr>
            <w:tcW w:w="552" w:type="pct"/>
          </w:tcPr>
          <w:p w14:paraId="49496466" w14:textId="77777777" w:rsidR="00B245FA" w:rsidRPr="00533E2F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3</w:t>
            </w:r>
          </w:p>
          <w:p w14:paraId="1F9D7E3D" w14:textId="77777777" w:rsidR="00B245FA" w:rsidRPr="00533E2F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  <w:tc>
          <w:tcPr>
            <w:tcW w:w="4448" w:type="pct"/>
            <w:gridSpan w:val="4"/>
          </w:tcPr>
          <w:p w14:paraId="57DB592B" w14:textId="3EC1C00B" w:rsidR="008F0343" w:rsidRPr="00533E2F" w:rsidRDefault="008F0343" w:rsidP="008F0343">
            <w:pPr>
              <w:autoSpaceDE w:val="0"/>
              <w:autoSpaceDN w:val="0"/>
              <w:adjustRightInd w:val="0"/>
              <w:rPr>
                <w:rFonts w:ascii="Verdana" w:hAnsi="Verdana" w:cs="Lato-Light"/>
              </w:rPr>
            </w:pPr>
            <w:r w:rsidRPr="00533E2F">
              <w:rPr>
                <w:rFonts w:ascii="Verdana" w:hAnsi="Verdana" w:cs="Lato-Light"/>
              </w:rPr>
              <w:t>To recognise indicators of positive, healthy relationships and unhealthy relationships.</w:t>
            </w:r>
          </w:p>
          <w:p w14:paraId="7800B430" w14:textId="5E4B2D39" w:rsidR="00B245FA" w:rsidRPr="00533E2F" w:rsidRDefault="00B245FA" w:rsidP="00387FE0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87AF6" w:rsidRPr="00533E2F" w14:paraId="5F8539E1" w14:textId="77777777" w:rsidTr="00533E2F">
        <w:trPr>
          <w:trHeight w:val="537"/>
        </w:trPr>
        <w:tc>
          <w:tcPr>
            <w:tcW w:w="552" w:type="pct"/>
          </w:tcPr>
          <w:p w14:paraId="77192A04" w14:textId="77777777" w:rsidR="00B245FA" w:rsidRPr="00533E2F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4</w:t>
            </w:r>
          </w:p>
        </w:tc>
        <w:tc>
          <w:tcPr>
            <w:tcW w:w="4448" w:type="pct"/>
            <w:gridSpan w:val="4"/>
          </w:tcPr>
          <w:p w14:paraId="1B6DD4B1" w14:textId="6250B414" w:rsidR="00B245FA" w:rsidRPr="00533E2F" w:rsidRDefault="008F0343" w:rsidP="00387FE0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To be aware of steps they can take to ensure their relationships are healthy.</w:t>
            </w:r>
          </w:p>
        </w:tc>
      </w:tr>
      <w:tr w:rsidR="008F0343" w:rsidRPr="00533E2F" w14:paraId="5F8F9DF1" w14:textId="77777777" w:rsidTr="00533E2F">
        <w:trPr>
          <w:trHeight w:val="537"/>
        </w:trPr>
        <w:tc>
          <w:tcPr>
            <w:tcW w:w="552" w:type="pct"/>
          </w:tcPr>
          <w:p w14:paraId="150A53B1" w14:textId="77777777" w:rsidR="008F0343" w:rsidRPr="00533E2F" w:rsidRDefault="008F0343" w:rsidP="008F0343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5</w:t>
            </w:r>
          </w:p>
        </w:tc>
        <w:tc>
          <w:tcPr>
            <w:tcW w:w="4448" w:type="pct"/>
            <w:gridSpan w:val="4"/>
          </w:tcPr>
          <w:p w14:paraId="4D1A8865" w14:textId="77777777" w:rsidR="008F0343" w:rsidRPr="00533E2F" w:rsidRDefault="008F0343" w:rsidP="008F0343">
            <w:pPr>
              <w:autoSpaceDE w:val="0"/>
              <w:autoSpaceDN w:val="0"/>
              <w:adjustRightInd w:val="0"/>
              <w:rPr>
                <w:rFonts w:ascii="Verdana" w:hAnsi="Verdana" w:cs="Lato-Light"/>
              </w:rPr>
            </w:pPr>
            <w:r w:rsidRPr="00533E2F">
              <w:rPr>
                <w:rFonts w:ascii="Verdana" w:hAnsi="Verdana" w:cs="Lato-Light"/>
              </w:rPr>
              <w:t>To understand the difference between biological sex, gender identity and sexual orientation</w:t>
            </w:r>
          </w:p>
          <w:p w14:paraId="483976CE" w14:textId="6B5D2969" w:rsidR="008F0343" w:rsidRPr="00533E2F" w:rsidRDefault="008F0343" w:rsidP="008F0343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8F0343" w:rsidRPr="00533E2F" w14:paraId="6E33B8A5" w14:textId="77777777" w:rsidTr="00533E2F">
        <w:trPr>
          <w:trHeight w:val="537"/>
        </w:trPr>
        <w:tc>
          <w:tcPr>
            <w:tcW w:w="552" w:type="pct"/>
          </w:tcPr>
          <w:p w14:paraId="23AB0FFA" w14:textId="77777777" w:rsidR="008F0343" w:rsidRPr="00533E2F" w:rsidRDefault="008F0343" w:rsidP="008F0343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6</w:t>
            </w:r>
          </w:p>
        </w:tc>
        <w:tc>
          <w:tcPr>
            <w:tcW w:w="4448" w:type="pct"/>
            <w:gridSpan w:val="4"/>
          </w:tcPr>
          <w:p w14:paraId="7490B319" w14:textId="0DEF69A1" w:rsidR="008F0343" w:rsidRPr="00533E2F" w:rsidRDefault="008F0343" w:rsidP="008F0343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="Lato-Light"/>
              </w:rPr>
              <w:t>To recognise that sexual attraction and sexuality are diverse</w:t>
            </w:r>
          </w:p>
        </w:tc>
      </w:tr>
      <w:tr w:rsidR="008F0343" w:rsidRPr="00533E2F" w14:paraId="604C67E2" w14:textId="77777777" w:rsidTr="00533E2F">
        <w:trPr>
          <w:trHeight w:val="537"/>
        </w:trPr>
        <w:tc>
          <w:tcPr>
            <w:tcW w:w="552" w:type="pct"/>
          </w:tcPr>
          <w:p w14:paraId="513F87CE" w14:textId="77777777" w:rsidR="008F0343" w:rsidRPr="00533E2F" w:rsidRDefault="008F0343" w:rsidP="008F0343">
            <w:pPr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7</w:t>
            </w:r>
          </w:p>
        </w:tc>
        <w:tc>
          <w:tcPr>
            <w:tcW w:w="4448" w:type="pct"/>
            <w:gridSpan w:val="4"/>
          </w:tcPr>
          <w:p w14:paraId="34B3FE49" w14:textId="77777777" w:rsidR="008F0343" w:rsidRPr="00533E2F" w:rsidRDefault="008F0343" w:rsidP="008F0343">
            <w:pPr>
              <w:autoSpaceDE w:val="0"/>
              <w:autoSpaceDN w:val="0"/>
              <w:adjustRightInd w:val="0"/>
              <w:rPr>
                <w:rFonts w:ascii="Verdana" w:hAnsi="Verdana" w:cs="Lato-Light"/>
              </w:rPr>
            </w:pPr>
            <w:r w:rsidRPr="00533E2F">
              <w:rPr>
                <w:rFonts w:ascii="Verdana" w:hAnsi="Verdana" w:cs="Lato-Light"/>
              </w:rPr>
              <w:t>To understand how the media portrays relationships and the potential impact of this on people’s expectations of relationships</w:t>
            </w:r>
          </w:p>
          <w:p w14:paraId="0D49B90A" w14:textId="5FEEA343" w:rsidR="008F0343" w:rsidRPr="00533E2F" w:rsidRDefault="008F0343" w:rsidP="008F0343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24"/>
                <w:szCs w:val="24"/>
              </w:rPr>
            </w:pPr>
          </w:p>
        </w:tc>
      </w:tr>
    </w:tbl>
    <w:p w14:paraId="5C87EC85" w14:textId="77777777" w:rsidR="00533E2F" w:rsidRDefault="00533E2F">
      <w:pPr>
        <w:rPr>
          <w:rFonts w:cstheme="minorHAnsi"/>
          <w:sz w:val="24"/>
          <w:szCs w:val="24"/>
        </w:rPr>
      </w:pPr>
    </w:p>
    <w:p w14:paraId="4D50AA4D" w14:textId="79C6D936" w:rsidR="00C96B26" w:rsidRPr="00533E2F" w:rsidRDefault="00920585">
      <w:pPr>
        <w:rPr>
          <w:rFonts w:ascii="Verdana" w:hAnsi="Verdana" w:cstheme="minorHAnsi"/>
          <w:sz w:val="24"/>
          <w:szCs w:val="24"/>
        </w:rPr>
      </w:pPr>
      <w:r w:rsidRPr="00533E2F">
        <w:rPr>
          <w:rFonts w:ascii="Verdana" w:hAnsi="Verdana" w:cstheme="minorHAnsi"/>
          <w:sz w:val="24"/>
          <w:szCs w:val="24"/>
        </w:rPr>
        <w:t>Tier Three Keywords: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709"/>
        <w:gridCol w:w="1709"/>
        <w:gridCol w:w="1711"/>
        <w:gridCol w:w="1808"/>
        <w:gridCol w:w="1711"/>
        <w:gridCol w:w="1808"/>
      </w:tblGrid>
      <w:tr w:rsidR="00533E2F" w:rsidRPr="00533E2F" w14:paraId="56E7C716" w14:textId="77777777" w:rsidTr="00533E2F">
        <w:trPr>
          <w:jc w:val="center"/>
        </w:trPr>
        <w:tc>
          <w:tcPr>
            <w:tcW w:w="829" w:type="pct"/>
          </w:tcPr>
          <w:p w14:paraId="3ED141E8" w14:textId="5386088D" w:rsidR="00533E2F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Platonic</w:t>
            </w:r>
          </w:p>
        </w:tc>
        <w:tc>
          <w:tcPr>
            <w:tcW w:w="829" w:type="pct"/>
          </w:tcPr>
          <w:p w14:paraId="7CDA4861" w14:textId="5802E72E" w:rsidR="00533E2F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Romantic</w:t>
            </w:r>
          </w:p>
        </w:tc>
        <w:tc>
          <w:tcPr>
            <w:tcW w:w="830" w:type="pct"/>
          </w:tcPr>
          <w:p w14:paraId="5D17AF0B" w14:textId="026BC760" w:rsidR="00533E2F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Intimate</w:t>
            </w:r>
          </w:p>
        </w:tc>
        <w:tc>
          <w:tcPr>
            <w:tcW w:w="852" w:type="pct"/>
          </w:tcPr>
          <w:p w14:paraId="70A311EF" w14:textId="7BCC646B" w:rsidR="00533E2F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Reproduction</w:t>
            </w:r>
          </w:p>
        </w:tc>
        <w:tc>
          <w:tcPr>
            <w:tcW w:w="830" w:type="pct"/>
          </w:tcPr>
          <w:p w14:paraId="3AF3EEF7" w14:textId="6B356611" w:rsidR="00533E2F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Sex</w:t>
            </w:r>
          </w:p>
        </w:tc>
        <w:tc>
          <w:tcPr>
            <w:tcW w:w="830" w:type="pct"/>
          </w:tcPr>
          <w:p w14:paraId="3B235E5C" w14:textId="7A997B0E" w:rsidR="00533E2F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Gender</w:t>
            </w:r>
          </w:p>
        </w:tc>
      </w:tr>
      <w:tr w:rsidR="00687AF6" w:rsidRPr="00533E2F" w14:paraId="5DC8C621" w14:textId="77777777" w:rsidTr="00533E2F">
        <w:trPr>
          <w:jc w:val="center"/>
        </w:trPr>
        <w:tc>
          <w:tcPr>
            <w:tcW w:w="829" w:type="pct"/>
          </w:tcPr>
          <w:p w14:paraId="14CD84C4" w14:textId="58F9D9B3" w:rsidR="00920585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Biological</w:t>
            </w:r>
          </w:p>
        </w:tc>
        <w:tc>
          <w:tcPr>
            <w:tcW w:w="829" w:type="pct"/>
          </w:tcPr>
          <w:p w14:paraId="2B6B0AA7" w14:textId="6355A89F" w:rsidR="00920585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Orientation</w:t>
            </w:r>
          </w:p>
        </w:tc>
        <w:tc>
          <w:tcPr>
            <w:tcW w:w="830" w:type="pct"/>
          </w:tcPr>
          <w:p w14:paraId="44846C07" w14:textId="7E8C134D" w:rsidR="00920585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Sexuality</w:t>
            </w:r>
          </w:p>
        </w:tc>
        <w:tc>
          <w:tcPr>
            <w:tcW w:w="852" w:type="pct"/>
          </w:tcPr>
          <w:p w14:paraId="27312DB3" w14:textId="230DE1C1" w:rsidR="00920585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Diverse</w:t>
            </w:r>
          </w:p>
        </w:tc>
        <w:tc>
          <w:tcPr>
            <w:tcW w:w="830" w:type="pct"/>
          </w:tcPr>
          <w:p w14:paraId="24B2E7BF" w14:textId="656B328D" w:rsidR="00920585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Media</w:t>
            </w:r>
          </w:p>
        </w:tc>
        <w:tc>
          <w:tcPr>
            <w:tcW w:w="830" w:type="pct"/>
          </w:tcPr>
          <w:p w14:paraId="7E715B4E" w14:textId="78CDB41A" w:rsidR="00920585" w:rsidRPr="00533E2F" w:rsidRDefault="00533E2F" w:rsidP="00533E2F">
            <w:pPr>
              <w:jc w:val="center"/>
              <w:rPr>
                <w:rFonts w:ascii="Verdana" w:hAnsi="Verdana" w:cstheme="minorHAnsi"/>
                <w:sz w:val="24"/>
                <w:szCs w:val="24"/>
              </w:rPr>
            </w:pPr>
            <w:r w:rsidRPr="00533E2F">
              <w:rPr>
                <w:rFonts w:ascii="Verdana" w:hAnsi="Verdana" w:cstheme="minorHAnsi"/>
                <w:sz w:val="24"/>
                <w:szCs w:val="24"/>
              </w:rPr>
              <w:t>Reproduction</w:t>
            </w:r>
          </w:p>
        </w:tc>
      </w:tr>
    </w:tbl>
    <w:p w14:paraId="386E509D" w14:textId="77777777" w:rsidR="00533E2F" w:rsidRPr="003C2871" w:rsidRDefault="00533E2F">
      <w:pPr>
        <w:rPr>
          <w:rFonts w:ascii="Verdana" w:hAnsi="Verdana" w:cstheme="minorHAnsi"/>
          <w:sz w:val="24"/>
          <w:szCs w:val="24"/>
        </w:rPr>
      </w:pPr>
    </w:p>
    <w:p w14:paraId="5ECA3170" w14:textId="77DD13FD" w:rsidR="00C96B26" w:rsidRDefault="00920585">
      <w:pPr>
        <w:rPr>
          <w:rFonts w:ascii="Verdana" w:hAnsi="Verdana" w:cstheme="minorHAnsi"/>
          <w:sz w:val="24"/>
          <w:szCs w:val="24"/>
        </w:rPr>
      </w:pPr>
      <w:r w:rsidRPr="003C2871">
        <w:rPr>
          <w:rFonts w:ascii="Verdana" w:hAnsi="Verdana" w:cstheme="minorHAnsi"/>
          <w:sz w:val="24"/>
          <w:szCs w:val="24"/>
        </w:rPr>
        <w:t>Recommended Reading:</w:t>
      </w:r>
    </w:p>
    <w:p w14:paraId="7754CB7E" w14:textId="77777777" w:rsidR="003C2871" w:rsidRPr="003C2871" w:rsidRDefault="003C2871">
      <w:pPr>
        <w:rPr>
          <w:rFonts w:ascii="Verdana" w:hAnsi="Verdana" w:cstheme="minorHAnsi"/>
          <w:sz w:val="24"/>
          <w:szCs w:val="24"/>
        </w:rPr>
      </w:pPr>
    </w:p>
    <w:tbl>
      <w:tblPr>
        <w:tblStyle w:val="TableGrid"/>
        <w:tblW w:w="9016" w:type="dxa"/>
        <w:tblInd w:w="712" w:type="dxa"/>
        <w:tblLook w:val="04A0" w:firstRow="1" w:lastRow="0" w:firstColumn="1" w:lastColumn="0" w:noHBand="0" w:noVBand="1"/>
      </w:tblPr>
      <w:tblGrid>
        <w:gridCol w:w="9016"/>
      </w:tblGrid>
      <w:tr w:rsidR="00533E2F" w:rsidRPr="00687AF6" w14:paraId="430E0E26" w14:textId="77777777" w:rsidTr="00533E2F">
        <w:tc>
          <w:tcPr>
            <w:tcW w:w="9016" w:type="dxa"/>
            <w:vAlign w:val="bottom"/>
          </w:tcPr>
          <w:p w14:paraId="03B95F6D" w14:textId="40AFB4DB" w:rsidR="00533E2F" w:rsidRPr="000F0972" w:rsidRDefault="00533E2F" w:rsidP="00533E2F">
            <w:pPr>
              <w:pStyle w:val="NormalWeb"/>
              <w:shd w:val="clear" w:color="auto" w:fill="FFFFFF"/>
              <w:spacing w:before="0" w:beforeAutospacing="0" w:after="180" w:afterAutospacing="0" w:line="375" w:lineRule="atLeast"/>
              <w:jc w:val="right"/>
              <w:rPr>
                <w:rFonts w:ascii="Verdana" w:hAnsi="Verdana"/>
                <w:color w:val="000000"/>
                <w:spacing w:val="7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22BEF90D" wp14:editId="576E240E">
                  <wp:simplePos x="0" y="0"/>
                  <wp:positionH relativeFrom="margin">
                    <wp:posOffset>-271145</wp:posOffset>
                  </wp:positionH>
                  <wp:positionV relativeFrom="paragraph">
                    <wp:posOffset>443865</wp:posOffset>
                  </wp:positionV>
                  <wp:extent cx="988060" cy="1485900"/>
                  <wp:effectExtent l="0" t="0" r="2540" b="0"/>
                  <wp:wrapTight wrapText="bothSides">
                    <wp:wrapPolygon edited="0">
                      <wp:start x="0" y="0"/>
                      <wp:lineTo x="0" y="21323"/>
                      <wp:lineTo x="21239" y="21323"/>
                      <wp:lineTo x="2123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06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0972">
              <w:rPr>
                <w:rFonts w:ascii="Verdana" w:hAnsi="Verdana"/>
                <w:color w:val="000000"/>
                <w:spacing w:val="7"/>
                <w:sz w:val="18"/>
                <w:szCs w:val="18"/>
              </w:rPr>
              <w:t>In </w:t>
            </w:r>
            <w:r w:rsidRPr="000F0972">
              <w:rPr>
                <w:rFonts w:ascii="Verdana" w:hAnsi="Verdana"/>
                <w:i/>
                <w:iCs/>
                <w:color w:val="000000"/>
                <w:spacing w:val="7"/>
                <w:sz w:val="18"/>
                <w:szCs w:val="18"/>
              </w:rPr>
              <w:t>Boys Don't Cry</w:t>
            </w:r>
            <w:r w:rsidRPr="000F0972">
              <w:rPr>
                <w:rFonts w:ascii="Verdana" w:hAnsi="Verdana"/>
                <w:color w:val="000000"/>
                <w:spacing w:val="7"/>
                <w:sz w:val="18"/>
                <w:szCs w:val="18"/>
              </w:rPr>
              <w:t>, bestselling author Malorie Blackman explores the unchartered territory of teenage fatherhood.  You're waiting for the postman - he's bringing your A level results. University, a career as a journalist - a glittering future lies ahead. But when the doorbell rings it's your old girlfriend; and she's carrying a baby. Your baby.  You're happy to look after it, just for an hour or two. But then she doesn't come back - and your future suddenly looks very different.  Malorie's dramatic new novel will take you on a journey from tears to laughter and back again.</w:t>
            </w:r>
          </w:p>
          <w:p w14:paraId="3A5A1C3C" w14:textId="77777777" w:rsidR="00533E2F" w:rsidRDefault="00533E2F" w:rsidP="00533E2F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 w:rsidSect="00533E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ato-Light">
    <w:altName w:val="La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68B5"/>
    <w:rsid w:val="000D1F7C"/>
    <w:rsid w:val="000E349C"/>
    <w:rsid w:val="0011526F"/>
    <w:rsid w:val="00152E58"/>
    <w:rsid w:val="001767DC"/>
    <w:rsid w:val="001B080A"/>
    <w:rsid w:val="002402A8"/>
    <w:rsid w:val="00387FE0"/>
    <w:rsid w:val="003C2871"/>
    <w:rsid w:val="003D70EC"/>
    <w:rsid w:val="00455F38"/>
    <w:rsid w:val="00533E2F"/>
    <w:rsid w:val="005C2ADA"/>
    <w:rsid w:val="00687AF6"/>
    <w:rsid w:val="00695526"/>
    <w:rsid w:val="00770758"/>
    <w:rsid w:val="007726CC"/>
    <w:rsid w:val="00790BCD"/>
    <w:rsid w:val="007E5C02"/>
    <w:rsid w:val="0082039C"/>
    <w:rsid w:val="00846C0E"/>
    <w:rsid w:val="00877415"/>
    <w:rsid w:val="008C0A32"/>
    <w:rsid w:val="008D477B"/>
    <w:rsid w:val="008F0343"/>
    <w:rsid w:val="008F6C26"/>
    <w:rsid w:val="00920585"/>
    <w:rsid w:val="009352F5"/>
    <w:rsid w:val="009D0BFB"/>
    <w:rsid w:val="009E6F6F"/>
    <w:rsid w:val="00AD03F7"/>
    <w:rsid w:val="00AF4C1A"/>
    <w:rsid w:val="00B10A0F"/>
    <w:rsid w:val="00B245FA"/>
    <w:rsid w:val="00C43E4B"/>
    <w:rsid w:val="00C7031D"/>
    <w:rsid w:val="00C96B26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33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Jenny Hair (Kenwood)</cp:lastModifiedBy>
  <cp:revision>2</cp:revision>
  <dcterms:created xsi:type="dcterms:W3CDTF">2025-06-25T13:22:00Z</dcterms:created>
  <dcterms:modified xsi:type="dcterms:W3CDTF">2025-06-25T13:22:00Z</dcterms:modified>
</cp:coreProperties>
</file>