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B245FA" w:rsidRPr="00B245FA" w14:paraId="2A531455" w14:textId="77777777" w:rsidTr="00917AD4">
        <w:trPr>
          <w:trHeight w:val="557"/>
        </w:trPr>
        <w:tc>
          <w:tcPr>
            <w:tcW w:w="3210" w:type="dxa"/>
            <w:gridSpan w:val="3"/>
            <w:shd w:val="clear" w:color="auto" w:fill="auto"/>
          </w:tcPr>
          <w:p w14:paraId="056BEAE1" w14:textId="5FB7D346"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8C0A32">
              <w:rPr>
                <w:rFonts w:ascii="Verdana" w:hAnsi="Verdana"/>
                <w:b/>
                <w:bCs/>
                <w:sz w:val="24"/>
                <w:szCs w:val="24"/>
              </w:rPr>
              <w:t xml:space="preserve"> </w:t>
            </w:r>
            <w:r w:rsidR="000E496D">
              <w:rPr>
                <w:rFonts w:ascii="Verdana" w:hAnsi="Verdana"/>
                <w:b/>
                <w:bCs/>
                <w:sz w:val="24"/>
                <w:szCs w:val="24"/>
              </w:rPr>
              <w:t>B13</w:t>
            </w:r>
          </w:p>
        </w:tc>
        <w:tc>
          <w:tcPr>
            <w:tcW w:w="2956" w:type="dxa"/>
            <w:shd w:val="clear" w:color="auto" w:fill="auto"/>
          </w:tcPr>
          <w:p w14:paraId="0668CB99" w14:textId="77777777" w:rsidR="00B245FA" w:rsidRDefault="00B245FA" w:rsidP="00B245FA">
            <w:pPr>
              <w:rPr>
                <w:rFonts w:ascii="Verdana" w:hAnsi="Verdana"/>
                <w:b/>
                <w:bCs/>
                <w:sz w:val="24"/>
                <w:szCs w:val="24"/>
              </w:rPr>
            </w:pPr>
            <w:r w:rsidRPr="00B245FA">
              <w:rPr>
                <w:rFonts w:ascii="Verdana" w:hAnsi="Verdana"/>
                <w:b/>
                <w:bCs/>
                <w:sz w:val="24"/>
                <w:szCs w:val="24"/>
              </w:rPr>
              <w:t xml:space="preserve">Subject: </w:t>
            </w:r>
          </w:p>
          <w:p w14:paraId="181E5C95" w14:textId="433FD79B" w:rsidR="008C0A32" w:rsidRPr="00B245FA" w:rsidRDefault="00387FE0" w:rsidP="00B245FA">
            <w:pPr>
              <w:rPr>
                <w:rFonts w:ascii="Verdana" w:hAnsi="Verdana"/>
                <w:b/>
                <w:bCs/>
                <w:sz w:val="24"/>
                <w:szCs w:val="24"/>
              </w:rPr>
            </w:pPr>
            <w:r>
              <w:rPr>
                <w:rFonts w:ascii="Verdana" w:hAnsi="Verdana"/>
                <w:b/>
                <w:bCs/>
                <w:sz w:val="24"/>
                <w:szCs w:val="24"/>
              </w:rPr>
              <w:t>PSHE</w:t>
            </w:r>
          </w:p>
        </w:tc>
        <w:tc>
          <w:tcPr>
            <w:tcW w:w="2901" w:type="dxa"/>
            <w:shd w:val="clear" w:color="auto" w:fill="auto"/>
          </w:tcPr>
          <w:p w14:paraId="5FD2855C" w14:textId="3850D760"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0038E0">
              <w:rPr>
                <w:rFonts w:ascii="Verdana" w:hAnsi="Verdana"/>
                <w:b/>
                <w:bCs/>
                <w:sz w:val="24"/>
                <w:szCs w:val="24"/>
              </w:rPr>
              <w:t>One</w:t>
            </w:r>
          </w:p>
        </w:tc>
      </w:tr>
      <w:tr w:rsidR="00B245FA" w:rsidRPr="00B245FA" w14:paraId="736F6FB1" w14:textId="77777777" w:rsidTr="00917AD4">
        <w:trPr>
          <w:trHeight w:val="412"/>
        </w:trPr>
        <w:tc>
          <w:tcPr>
            <w:tcW w:w="1414" w:type="dxa"/>
            <w:gridSpan w:val="2"/>
            <w:shd w:val="clear" w:color="auto" w:fill="auto"/>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shd w:val="clear" w:color="auto" w:fill="auto"/>
          </w:tcPr>
          <w:p w14:paraId="3A01D5AF" w14:textId="78D62249" w:rsidR="00B245FA" w:rsidRPr="00B245FA" w:rsidRDefault="000E496D" w:rsidP="00B245FA">
            <w:pPr>
              <w:rPr>
                <w:rFonts w:ascii="Verdana" w:hAnsi="Verdana"/>
                <w:b/>
                <w:bCs/>
                <w:sz w:val="24"/>
                <w:szCs w:val="24"/>
              </w:rPr>
            </w:pPr>
            <w:r>
              <w:rPr>
                <w:rFonts w:ascii="Verdana" w:hAnsi="Verdana"/>
                <w:b/>
                <w:bCs/>
                <w:sz w:val="24"/>
                <w:szCs w:val="24"/>
              </w:rPr>
              <w:t>Milly Latham</w:t>
            </w:r>
          </w:p>
        </w:tc>
      </w:tr>
      <w:tr w:rsidR="00B245FA" w:rsidRPr="00B245FA" w14:paraId="0B0B2711" w14:textId="77777777" w:rsidTr="00917AD4">
        <w:trPr>
          <w:trHeight w:val="500"/>
        </w:trPr>
        <w:tc>
          <w:tcPr>
            <w:tcW w:w="9067" w:type="dxa"/>
            <w:gridSpan w:val="5"/>
            <w:shd w:val="clear" w:color="auto" w:fill="auto"/>
          </w:tcPr>
          <w:p w14:paraId="151CC055" w14:textId="7E0484AB" w:rsidR="00B245FA" w:rsidRPr="00687AF6" w:rsidRDefault="00B245FA" w:rsidP="00B245FA">
            <w:pPr>
              <w:rPr>
                <w:rFonts w:ascii="Verdana" w:hAnsi="Verdana"/>
                <w:b/>
                <w:bCs/>
                <w:sz w:val="24"/>
                <w:szCs w:val="24"/>
              </w:rPr>
            </w:pPr>
            <w:r w:rsidRPr="00687AF6">
              <w:rPr>
                <w:rFonts w:ascii="Verdana" w:hAnsi="Verdana"/>
                <w:b/>
                <w:bCs/>
                <w:sz w:val="24"/>
                <w:szCs w:val="24"/>
              </w:rPr>
              <w:t>Curriculum:</w:t>
            </w:r>
            <w:r w:rsidR="001C2B70">
              <w:rPr>
                <w:rFonts w:ascii="Verdana" w:hAnsi="Verdana"/>
                <w:b/>
                <w:bCs/>
                <w:sz w:val="24"/>
                <w:szCs w:val="24"/>
              </w:rPr>
              <w:t xml:space="preserve"> </w:t>
            </w:r>
            <w:r w:rsidR="00CF038A">
              <w:rPr>
                <w:rFonts w:ascii="Verdana" w:hAnsi="Verdana"/>
                <w:b/>
                <w:bCs/>
                <w:sz w:val="24"/>
                <w:szCs w:val="24"/>
              </w:rPr>
              <w:t>Post 16 study pathways</w:t>
            </w:r>
          </w:p>
        </w:tc>
      </w:tr>
      <w:tr w:rsidR="00B245FA" w:rsidRPr="00B245FA" w14:paraId="351A68E2" w14:textId="77777777" w:rsidTr="00917AD4">
        <w:trPr>
          <w:trHeight w:val="500"/>
        </w:trPr>
        <w:tc>
          <w:tcPr>
            <w:tcW w:w="9067" w:type="dxa"/>
            <w:gridSpan w:val="5"/>
            <w:shd w:val="clear" w:color="auto" w:fill="auto"/>
          </w:tcPr>
          <w:p w14:paraId="2C65A267" w14:textId="55B58F51" w:rsidR="00D45D6C" w:rsidRDefault="00B245FA" w:rsidP="00D45D6C">
            <w:pPr>
              <w:pStyle w:val="paragraph"/>
              <w:spacing w:before="0" w:beforeAutospacing="0" w:after="0" w:afterAutospacing="0"/>
              <w:textAlignment w:val="baseline"/>
              <w:rPr>
                <w:rFonts w:ascii="Segoe UI" w:hAnsi="Segoe UI" w:cs="Segoe UI"/>
                <w:sz w:val="18"/>
                <w:szCs w:val="18"/>
                <w:lang w:val="en-US"/>
              </w:rPr>
            </w:pPr>
            <w:r w:rsidRPr="00687AF6">
              <w:rPr>
                <w:rFonts w:ascii="Verdana" w:hAnsi="Verdana"/>
                <w:b/>
                <w:bCs/>
              </w:rPr>
              <w:t xml:space="preserve">Term </w:t>
            </w:r>
            <w:r w:rsidR="00B10A0F">
              <w:rPr>
                <w:rFonts w:ascii="Verdana" w:hAnsi="Verdana"/>
                <w:b/>
                <w:bCs/>
              </w:rPr>
              <w:t>f</w:t>
            </w:r>
            <w:r w:rsidRPr="00687AF6">
              <w:rPr>
                <w:rFonts w:ascii="Verdana" w:hAnsi="Verdana"/>
                <w:b/>
                <w:bCs/>
              </w:rPr>
              <w:t xml:space="preserve">ocus: </w:t>
            </w:r>
            <w:r w:rsidR="00D45D6C">
              <w:rPr>
                <w:rFonts w:ascii="Arial" w:hAnsi="Arial" w:cs="Arial"/>
                <w:i/>
                <w:iCs/>
                <w:lang w:val="en-US"/>
              </w:rPr>
              <w:t xml:space="preserve"> </w:t>
            </w:r>
            <w:r w:rsidR="00D45D6C">
              <w:rPr>
                <w:rStyle w:val="normaltextrun"/>
                <w:rFonts w:ascii="Arial" w:hAnsi="Arial" w:cs="Arial"/>
                <w:i/>
                <w:iCs/>
                <w:lang w:val="en-US"/>
              </w:rPr>
              <w:t xml:space="preserve">The end point for students is that they understand lawful sexual </w:t>
            </w:r>
            <w:proofErr w:type="spellStart"/>
            <w:r w:rsidR="00D45D6C">
              <w:rPr>
                <w:rStyle w:val="normaltextrun"/>
                <w:rFonts w:ascii="Arial" w:hAnsi="Arial" w:cs="Arial"/>
                <w:i/>
                <w:iCs/>
                <w:lang w:val="en-US"/>
              </w:rPr>
              <w:t>behaviour</w:t>
            </w:r>
            <w:proofErr w:type="spellEnd"/>
            <w:r w:rsidR="00D45D6C">
              <w:rPr>
                <w:rStyle w:val="normaltextrun"/>
                <w:rFonts w:ascii="Arial" w:hAnsi="Arial" w:cs="Arial"/>
                <w:i/>
                <w:iCs/>
                <w:lang w:val="en-US"/>
              </w:rPr>
              <w:t xml:space="preserve">, how to stay safe and have a healthy sexual relationship. Students will have a good understanding of what verbal and non-verbal consent and non-consent look like and the law around that. </w:t>
            </w:r>
            <w:r w:rsidR="00D45D6C">
              <w:rPr>
                <w:rStyle w:val="normaltextrun"/>
                <w:rFonts w:ascii="Arial" w:hAnsi="Arial" w:cs="Arial"/>
                <w:i/>
                <w:iCs/>
                <w:color w:val="000000"/>
                <w:lang w:val="en-US"/>
              </w:rPr>
              <w:t>They will understand why some of the prevalent expectations around sexual activity are not necessarily safe or healthy and most importantly, to have the skills and confidence to exit a situation where they feel uncomfortable or unsafe.</w:t>
            </w:r>
            <w:r w:rsidR="00D45D6C">
              <w:rPr>
                <w:rStyle w:val="eop"/>
                <w:rFonts w:ascii="Arial" w:hAnsi="Arial" w:cs="Arial"/>
                <w:color w:val="000000"/>
                <w:lang w:val="en-US"/>
              </w:rPr>
              <w:t> </w:t>
            </w:r>
          </w:p>
          <w:p w14:paraId="52141CAA" w14:textId="77777777" w:rsidR="00D45D6C" w:rsidRDefault="00D45D6C" w:rsidP="00D45D6C">
            <w:pPr>
              <w:pStyle w:val="paragraph"/>
              <w:spacing w:before="0" w:beforeAutospacing="0" w:after="0" w:afterAutospacing="0"/>
              <w:textAlignment w:val="baseline"/>
              <w:rPr>
                <w:rFonts w:ascii="Segoe UI" w:hAnsi="Segoe UI" w:cs="Segoe UI"/>
                <w:sz w:val="18"/>
                <w:szCs w:val="18"/>
                <w:lang w:val="en-US"/>
              </w:rPr>
            </w:pPr>
            <w:r>
              <w:rPr>
                <w:rStyle w:val="normaltextrun"/>
                <w:rFonts w:ascii="Arial" w:hAnsi="Arial" w:cs="Arial"/>
                <w:i/>
                <w:iCs/>
                <w:lang w:val="en-US"/>
              </w:rPr>
              <w:t>They will know where to seek help or support.</w:t>
            </w:r>
            <w:r>
              <w:rPr>
                <w:rStyle w:val="eop"/>
                <w:rFonts w:ascii="Arial" w:hAnsi="Arial" w:cs="Arial"/>
                <w:lang w:val="en-US"/>
              </w:rPr>
              <w:t> </w:t>
            </w:r>
          </w:p>
          <w:p w14:paraId="45E674C4" w14:textId="689C7807" w:rsidR="00B245FA" w:rsidRPr="00687AF6" w:rsidRDefault="00B245FA" w:rsidP="00B245FA">
            <w:pPr>
              <w:rPr>
                <w:rFonts w:ascii="Verdana" w:hAnsi="Verdana"/>
                <w:b/>
                <w:bCs/>
                <w:sz w:val="24"/>
                <w:szCs w:val="24"/>
              </w:rPr>
            </w:pPr>
          </w:p>
        </w:tc>
      </w:tr>
      <w:tr w:rsidR="000038E0" w:rsidRPr="00687AF6" w14:paraId="358C24DA" w14:textId="77777777" w:rsidTr="002F264F">
        <w:trPr>
          <w:trHeight w:val="537"/>
        </w:trPr>
        <w:tc>
          <w:tcPr>
            <w:tcW w:w="1001" w:type="dxa"/>
            <w:shd w:val="clear" w:color="auto" w:fill="92D050"/>
          </w:tcPr>
          <w:p w14:paraId="51366C3C" w14:textId="77777777" w:rsidR="000038E0" w:rsidRPr="00687AF6" w:rsidRDefault="000038E0" w:rsidP="000038E0">
            <w:pPr>
              <w:rPr>
                <w:rFonts w:cstheme="minorHAnsi"/>
                <w:sz w:val="24"/>
                <w:szCs w:val="24"/>
              </w:rPr>
            </w:pPr>
            <w:r w:rsidRPr="00687AF6">
              <w:rPr>
                <w:rFonts w:cstheme="minorHAnsi"/>
                <w:sz w:val="24"/>
                <w:szCs w:val="24"/>
              </w:rPr>
              <w:t>1</w:t>
            </w:r>
          </w:p>
        </w:tc>
        <w:tc>
          <w:tcPr>
            <w:tcW w:w="8066" w:type="dxa"/>
            <w:gridSpan w:val="4"/>
            <w:tcBorders>
              <w:top w:val="single" w:sz="4" w:space="0" w:color="auto"/>
              <w:left w:val="nil"/>
              <w:bottom w:val="single" w:sz="4" w:space="0" w:color="auto"/>
              <w:right w:val="single" w:sz="4" w:space="0" w:color="auto"/>
            </w:tcBorders>
            <w:shd w:val="clear" w:color="auto" w:fill="auto"/>
          </w:tcPr>
          <w:p w14:paraId="2FE3143D" w14:textId="6F2B353C" w:rsidR="000038E0" w:rsidRPr="00687AF6" w:rsidRDefault="00CF038A" w:rsidP="000038E0">
            <w:pPr>
              <w:rPr>
                <w:rFonts w:cstheme="minorHAnsi"/>
                <w:sz w:val="24"/>
                <w:szCs w:val="24"/>
              </w:rPr>
            </w:pPr>
            <w:r w:rsidRPr="00CF038A">
              <w:rPr>
                <w:rFonts w:cstheme="minorHAnsi"/>
                <w:sz w:val="24"/>
                <w:szCs w:val="24"/>
              </w:rPr>
              <w:t>Explain key UK laws relating to sex, including the age of consent, sexual offences, sexting, and the legal rights surrounding consent and confidentiality.</w:t>
            </w:r>
          </w:p>
        </w:tc>
      </w:tr>
      <w:tr w:rsidR="000038E0" w:rsidRPr="00687AF6" w14:paraId="73FCEE28" w14:textId="77777777" w:rsidTr="002F264F">
        <w:trPr>
          <w:trHeight w:val="537"/>
        </w:trPr>
        <w:tc>
          <w:tcPr>
            <w:tcW w:w="1001" w:type="dxa"/>
            <w:shd w:val="clear" w:color="auto" w:fill="00B0F0"/>
          </w:tcPr>
          <w:p w14:paraId="5C6E9DFA" w14:textId="77777777" w:rsidR="000038E0" w:rsidRPr="00687AF6" w:rsidRDefault="000038E0" w:rsidP="000038E0">
            <w:pPr>
              <w:rPr>
                <w:rFonts w:cstheme="minorHAnsi"/>
                <w:sz w:val="24"/>
                <w:szCs w:val="24"/>
              </w:rPr>
            </w:pPr>
            <w:r w:rsidRPr="00687AF6">
              <w:rPr>
                <w:rFonts w:cstheme="minorHAnsi"/>
                <w:sz w:val="24"/>
                <w:szCs w:val="24"/>
              </w:rPr>
              <w:t>2</w:t>
            </w:r>
          </w:p>
          <w:p w14:paraId="1AAF7769" w14:textId="77777777" w:rsidR="000038E0" w:rsidRPr="00687AF6" w:rsidRDefault="000038E0" w:rsidP="000038E0">
            <w:pPr>
              <w:rPr>
                <w:rFonts w:cstheme="minorHAnsi"/>
                <w:sz w:val="24"/>
                <w:szCs w:val="24"/>
              </w:rPr>
            </w:pPr>
          </w:p>
        </w:tc>
        <w:tc>
          <w:tcPr>
            <w:tcW w:w="8066" w:type="dxa"/>
            <w:gridSpan w:val="4"/>
            <w:tcBorders>
              <w:top w:val="single" w:sz="4" w:space="0" w:color="auto"/>
              <w:left w:val="nil"/>
              <w:bottom w:val="single" w:sz="4" w:space="0" w:color="auto"/>
              <w:right w:val="single" w:sz="4" w:space="0" w:color="auto"/>
            </w:tcBorders>
            <w:shd w:val="clear" w:color="auto" w:fill="auto"/>
            <w:vAlign w:val="bottom"/>
          </w:tcPr>
          <w:p w14:paraId="5884A6B9" w14:textId="64E9F1F6" w:rsidR="000038E0" w:rsidRPr="00687AF6" w:rsidRDefault="00CF038A" w:rsidP="000038E0">
            <w:pPr>
              <w:rPr>
                <w:rFonts w:cstheme="minorHAnsi"/>
                <w:sz w:val="24"/>
                <w:szCs w:val="24"/>
              </w:rPr>
            </w:pPr>
            <w:r w:rsidRPr="00CF038A">
              <w:rPr>
                <w:rFonts w:cstheme="minorHAnsi"/>
                <w:sz w:val="24"/>
                <w:szCs w:val="24"/>
              </w:rPr>
              <w:t>Identify and evaluate what constitutes clear, enthusiastic, and informed consent, and recognise signs of non-consent or coercion in a range of situations, including within relationships.</w:t>
            </w:r>
          </w:p>
        </w:tc>
      </w:tr>
      <w:tr w:rsidR="00CF038A" w:rsidRPr="00687AF6" w14:paraId="4E0D80F6" w14:textId="77777777" w:rsidTr="002F264F">
        <w:trPr>
          <w:trHeight w:val="537"/>
        </w:trPr>
        <w:tc>
          <w:tcPr>
            <w:tcW w:w="1001" w:type="dxa"/>
            <w:shd w:val="clear" w:color="auto" w:fill="00B0F0"/>
          </w:tcPr>
          <w:p w14:paraId="49496466" w14:textId="77777777" w:rsidR="00CF038A" w:rsidRPr="00687AF6" w:rsidRDefault="00CF038A" w:rsidP="00CF038A">
            <w:pPr>
              <w:rPr>
                <w:rFonts w:cstheme="minorHAnsi"/>
                <w:sz w:val="24"/>
                <w:szCs w:val="24"/>
              </w:rPr>
            </w:pPr>
            <w:r w:rsidRPr="00687AF6">
              <w:rPr>
                <w:rFonts w:cstheme="minorHAnsi"/>
                <w:sz w:val="24"/>
                <w:szCs w:val="24"/>
              </w:rPr>
              <w:t>3</w:t>
            </w:r>
          </w:p>
          <w:p w14:paraId="1F9D7E3D" w14:textId="77777777" w:rsidR="00CF038A" w:rsidRPr="00687AF6" w:rsidRDefault="00CF038A" w:rsidP="00CF038A">
            <w:pPr>
              <w:rPr>
                <w:rFonts w:cstheme="minorHAnsi"/>
                <w:sz w:val="24"/>
                <w:szCs w:val="24"/>
              </w:rPr>
            </w:pPr>
          </w:p>
        </w:tc>
        <w:tc>
          <w:tcPr>
            <w:tcW w:w="8066" w:type="dxa"/>
            <w:gridSpan w:val="4"/>
            <w:tcBorders>
              <w:top w:val="single" w:sz="4" w:space="0" w:color="auto"/>
              <w:left w:val="nil"/>
              <w:bottom w:val="single" w:sz="4" w:space="0" w:color="auto"/>
              <w:right w:val="single" w:sz="4" w:space="0" w:color="auto"/>
            </w:tcBorders>
            <w:shd w:val="clear" w:color="auto" w:fill="auto"/>
          </w:tcPr>
          <w:p w14:paraId="7800B430" w14:textId="749AF214" w:rsidR="00CF038A" w:rsidRPr="00687AF6" w:rsidRDefault="00CF038A" w:rsidP="00CF038A">
            <w:pPr>
              <w:rPr>
                <w:rFonts w:cstheme="minorHAnsi"/>
                <w:sz w:val="24"/>
                <w:szCs w:val="24"/>
              </w:rPr>
            </w:pPr>
            <w:r w:rsidRPr="00CF038A">
              <w:rPr>
                <w:rFonts w:cstheme="minorHAnsi"/>
                <w:sz w:val="24"/>
                <w:szCs w:val="24"/>
              </w:rPr>
              <w:t>Discuss the emotional, psychological, and social dimensions of consent, including how power dynamics, alcohol/drugs, and pressure from peers or media can affect decision-making.</w:t>
            </w:r>
          </w:p>
        </w:tc>
      </w:tr>
      <w:tr w:rsidR="00CF038A" w:rsidRPr="00687AF6" w14:paraId="5F8539E1" w14:textId="77777777" w:rsidTr="002F264F">
        <w:trPr>
          <w:trHeight w:val="537"/>
        </w:trPr>
        <w:tc>
          <w:tcPr>
            <w:tcW w:w="1001" w:type="dxa"/>
            <w:shd w:val="clear" w:color="auto" w:fill="FFFF00"/>
          </w:tcPr>
          <w:p w14:paraId="77192A04" w14:textId="77777777" w:rsidR="00CF038A" w:rsidRPr="00687AF6" w:rsidRDefault="00CF038A" w:rsidP="00CF038A">
            <w:pPr>
              <w:rPr>
                <w:rFonts w:cstheme="minorHAnsi"/>
                <w:sz w:val="24"/>
                <w:szCs w:val="24"/>
              </w:rPr>
            </w:pPr>
            <w:r w:rsidRPr="00687AF6">
              <w:rPr>
                <w:rFonts w:cstheme="minorHAnsi"/>
                <w:sz w:val="24"/>
                <w:szCs w:val="24"/>
              </w:rPr>
              <w:t>4</w:t>
            </w:r>
          </w:p>
        </w:tc>
        <w:tc>
          <w:tcPr>
            <w:tcW w:w="8066" w:type="dxa"/>
            <w:gridSpan w:val="4"/>
            <w:tcBorders>
              <w:top w:val="single" w:sz="4" w:space="0" w:color="auto"/>
              <w:left w:val="nil"/>
              <w:bottom w:val="single" w:sz="4" w:space="0" w:color="auto"/>
              <w:right w:val="single" w:sz="4" w:space="0" w:color="auto"/>
            </w:tcBorders>
            <w:shd w:val="clear" w:color="auto" w:fill="auto"/>
            <w:vAlign w:val="bottom"/>
          </w:tcPr>
          <w:p w14:paraId="1B6DD4B1" w14:textId="7E59C031" w:rsidR="00CF038A" w:rsidRPr="00687AF6" w:rsidRDefault="00CF038A" w:rsidP="00CF038A">
            <w:pPr>
              <w:rPr>
                <w:rFonts w:cstheme="minorHAnsi"/>
                <w:sz w:val="24"/>
                <w:szCs w:val="24"/>
              </w:rPr>
            </w:pPr>
            <w:r w:rsidRPr="00CF038A">
              <w:rPr>
                <w:rFonts w:cstheme="minorHAnsi"/>
                <w:sz w:val="24"/>
                <w:szCs w:val="24"/>
              </w:rPr>
              <w:t>Explore myths and misconceptions about sex and relationships, including those perpetuated by pornography and popular media, and critically assess their impact on expectations and self-esteem.</w:t>
            </w:r>
          </w:p>
        </w:tc>
      </w:tr>
      <w:tr w:rsidR="00CF038A" w:rsidRPr="00687AF6" w14:paraId="5F8F9DF1" w14:textId="77777777" w:rsidTr="000038E0">
        <w:trPr>
          <w:trHeight w:val="537"/>
        </w:trPr>
        <w:tc>
          <w:tcPr>
            <w:tcW w:w="1001" w:type="dxa"/>
          </w:tcPr>
          <w:p w14:paraId="150A53B1" w14:textId="77777777" w:rsidR="00CF038A" w:rsidRPr="00687AF6" w:rsidRDefault="00CF038A" w:rsidP="00CF038A">
            <w:pPr>
              <w:rPr>
                <w:rFonts w:cstheme="minorHAnsi"/>
                <w:sz w:val="24"/>
                <w:szCs w:val="24"/>
              </w:rPr>
            </w:pPr>
            <w:r w:rsidRPr="00687AF6">
              <w:rPr>
                <w:rFonts w:cstheme="minorHAnsi"/>
                <w:sz w:val="24"/>
                <w:szCs w:val="24"/>
              </w:rPr>
              <w:t>5</w:t>
            </w:r>
          </w:p>
        </w:tc>
        <w:tc>
          <w:tcPr>
            <w:tcW w:w="8066" w:type="dxa"/>
            <w:gridSpan w:val="4"/>
            <w:tcBorders>
              <w:top w:val="single" w:sz="4" w:space="0" w:color="auto"/>
              <w:left w:val="nil"/>
              <w:bottom w:val="single" w:sz="4" w:space="0" w:color="auto"/>
              <w:right w:val="single" w:sz="4" w:space="0" w:color="auto"/>
            </w:tcBorders>
            <w:shd w:val="clear" w:color="auto" w:fill="auto"/>
            <w:vAlign w:val="bottom"/>
          </w:tcPr>
          <w:p w14:paraId="483976CE" w14:textId="36A6BD7C" w:rsidR="00CF038A" w:rsidRPr="00687AF6" w:rsidRDefault="00CF038A" w:rsidP="00CF038A">
            <w:pPr>
              <w:rPr>
                <w:rFonts w:cstheme="minorHAnsi"/>
                <w:sz w:val="24"/>
                <w:szCs w:val="24"/>
              </w:rPr>
            </w:pPr>
            <w:r w:rsidRPr="00CF038A">
              <w:rPr>
                <w:rFonts w:cstheme="minorHAnsi"/>
                <w:sz w:val="24"/>
                <w:szCs w:val="24"/>
              </w:rPr>
              <w:t>Recognise and respect individual differences in sexual orientation, gender identity, and sexual preferences, and understand the importance of mutual respect and inclusivity in intimate relationships.</w:t>
            </w:r>
          </w:p>
        </w:tc>
      </w:tr>
      <w:tr w:rsidR="00CF038A" w:rsidRPr="00687AF6" w14:paraId="6E33B8A5" w14:textId="77777777" w:rsidTr="000038E0">
        <w:trPr>
          <w:trHeight w:val="537"/>
        </w:trPr>
        <w:tc>
          <w:tcPr>
            <w:tcW w:w="1001" w:type="dxa"/>
          </w:tcPr>
          <w:p w14:paraId="23AB0FFA" w14:textId="77777777" w:rsidR="00CF038A" w:rsidRPr="00687AF6" w:rsidRDefault="00CF038A" w:rsidP="00CF038A">
            <w:pPr>
              <w:rPr>
                <w:rFonts w:cstheme="minorHAnsi"/>
                <w:sz w:val="24"/>
                <w:szCs w:val="24"/>
              </w:rPr>
            </w:pPr>
            <w:r w:rsidRPr="00687AF6">
              <w:rPr>
                <w:rFonts w:cstheme="minorHAnsi"/>
                <w:sz w:val="24"/>
                <w:szCs w:val="24"/>
              </w:rPr>
              <w:t>6</w:t>
            </w:r>
          </w:p>
        </w:tc>
        <w:tc>
          <w:tcPr>
            <w:tcW w:w="8066" w:type="dxa"/>
            <w:gridSpan w:val="4"/>
            <w:tcBorders>
              <w:top w:val="single" w:sz="4" w:space="0" w:color="auto"/>
              <w:left w:val="nil"/>
              <w:bottom w:val="single" w:sz="4" w:space="0" w:color="auto"/>
              <w:right w:val="single" w:sz="4" w:space="0" w:color="auto"/>
            </w:tcBorders>
            <w:shd w:val="clear" w:color="auto" w:fill="auto"/>
            <w:vAlign w:val="bottom"/>
          </w:tcPr>
          <w:p w14:paraId="7490B319" w14:textId="0E702D29" w:rsidR="00CF038A" w:rsidRPr="00687AF6" w:rsidRDefault="00CF038A" w:rsidP="00CF038A">
            <w:pPr>
              <w:rPr>
                <w:rFonts w:cstheme="minorHAnsi"/>
                <w:sz w:val="24"/>
                <w:szCs w:val="24"/>
              </w:rPr>
            </w:pPr>
            <w:r w:rsidRPr="00CF038A">
              <w:rPr>
                <w:rFonts w:cstheme="minorHAnsi"/>
                <w:sz w:val="24"/>
                <w:szCs w:val="24"/>
              </w:rPr>
              <w:t>Understand and compare different types of contraception, including hormonal and barrier methods, and evaluate their effectiveness, side effects, and suitability for different individuals and situations.</w:t>
            </w:r>
          </w:p>
        </w:tc>
      </w:tr>
      <w:tr w:rsidR="00CF038A" w:rsidRPr="00687AF6" w14:paraId="604C67E2" w14:textId="77777777" w:rsidTr="000038E0">
        <w:trPr>
          <w:trHeight w:val="537"/>
        </w:trPr>
        <w:tc>
          <w:tcPr>
            <w:tcW w:w="1001" w:type="dxa"/>
          </w:tcPr>
          <w:p w14:paraId="513F87CE" w14:textId="77777777" w:rsidR="00CF038A" w:rsidRPr="00687AF6" w:rsidRDefault="00CF038A" w:rsidP="00CF038A">
            <w:pPr>
              <w:rPr>
                <w:rFonts w:cstheme="minorHAnsi"/>
                <w:sz w:val="24"/>
                <w:szCs w:val="24"/>
              </w:rPr>
            </w:pPr>
            <w:r w:rsidRPr="00687AF6">
              <w:rPr>
                <w:rFonts w:cstheme="minorHAnsi"/>
                <w:sz w:val="24"/>
                <w:szCs w:val="24"/>
              </w:rPr>
              <w:t>7</w:t>
            </w:r>
          </w:p>
        </w:tc>
        <w:tc>
          <w:tcPr>
            <w:tcW w:w="8066" w:type="dxa"/>
            <w:gridSpan w:val="4"/>
            <w:tcBorders>
              <w:top w:val="single" w:sz="4" w:space="0" w:color="auto"/>
              <w:left w:val="nil"/>
              <w:bottom w:val="single" w:sz="4" w:space="0" w:color="auto"/>
              <w:right w:val="single" w:sz="4" w:space="0" w:color="auto"/>
            </w:tcBorders>
            <w:shd w:val="clear" w:color="auto" w:fill="auto"/>
            <w:vAlign w:val="bottom"/>
          </w:tcPr>
          <w:p w14:paraId="0D49B90A" w14:textId="14051421" w:rsidR="00CF038A" w:rsidRPr="000268B5" w:rsidRDefault="00CF038A" w:rsidP="00CF038A">
            <w:pPr>
              <w:autoSpaceDE w:val="0"/>
              <w:autoSpaceDN w:val="0"/>
              <w:adjustRightInd w:val="0"/>
              <w:rPr>
                <w:rFonts w:cstheme="minorHAnsi"/>
                <w:sz w:val="24"/>
                <w:szCs w:val="24"/>
              </w:rPr>
            </w:pPr>
            <w:r w:rsidRPr="00CF038A">
              <w:rPr>
                <w:rFonts w:cstheme="minorHAnsi"/>
                <w:sz w:val="24"/>
                <w:szCs w:val="24"/>
              </w:rPr>
              <w:t>Demonstrate knowledge of how to access sexual health services locally and nationally, including where to get contraception, STI testing, and confidential advice.</w:t>
            </w:r>
          </w:p>
        </w:tc>
      </w:tr>
      <w:tr w:rsidR="00CF038A" w:rsidRPr="00687AF6" w14:paraId="7E3033AF" w14:textId="77777777" w:rsidTr="000038E0">
        <w:trPr>
          <w:trHeight w:val="537"/>
        </w:trPr>
        <w:tc>
          <w:tcPr>
            <w:tcW w:w="1001" w:type="dxa"/>
          </w:tcPr>
          <w:p w14:paraId="6E3A2C3B" w14:textId="77777777" w:rsidR="00CF038A" w:rsidRPr="00687AF6" w:rsidRDefault="00CF038A" w:rsidP="00CF038A">
            <w:pPr>
              <w:rPr>
                <w:rFonts w:cstheme="minorHAnsi"/>
                <w:sz w:val="24"/>
                <w:szCs w:val="24"/>
              </w:rPr>
            </w:pPr>
            <w:r w:rsidRPr="00687AF6">
              <w:rPr>
                <w:rFonts w:cstheme="minorHAnsi"/>
                <w:sz w:val="24"/>
                <w:szCs w:val="24"/>
              </w:rPr>
              <w:t>8</w:t>
            </w:r>
          </w:p>
        </w:tc>
        <w:tc>
          <w:tcPr>
            <w:tcW w:w="8066" w:type="dxa"/>
            <w:gridSpan w:val="4"/>
            <w:tcBorders>
              <w:top w:val="single" w:sz="4" w:space="0" w:color="auto"/>
              <w:left w:val="nil"/>
              <w:bottom w:val="single" w:sz="4" w:space="0" w:color="auto"/>
              <w:right w:val="single" w:sz="4" w:space="0" w:color="auto"/>
            </w:tcBorders>
            <w:shd w:val="clear" w:color="auto" w:fill="auto"/>
          </w:tcPr>
          <w:p w14:paraId="48BFB930" w14:textId="75452329" w:rsidR="00CF038A" w:rsidRPr="00CF038A" w:rsidRDefault="00CF038A" w:rsidP="00CF038A">
            <w:pPr>
              <w:autoSpaceDE w:val="0"/>
              <w:autoSpaceDN w:val="0"/>
              <w:adjustRightInd w:val="0"/>
              <w:rPr>
                <w:rFonts w:cstheme="minorHAnsi"/>
                <w:sz w:val="24"/>
                <w:szCs w:val="24"/>
              </w:rPr>
            </w:pPr>
            <w:r w:rsidRPr="00CF038A">
              <w:rPr>
                <w:rFonts w:cstheme="minorHAnsi"/>
                <w:sz w:val="24"/>
                <w:szCs w:val="24"/>
              </w:rPr>
              <w:t>Identify symptoms, risks, and prevention strategies for common sexually transmitted infections (STIs), including HIV, chlamydia, HPV, and herpes.</w:t>
            </w:r>
          </w:p>
        </w:tc>
      </w:tr>
      <w:tr w:rsidR="00CF038A" w:rsidRPr="00687AF6" w14:paraId="23CC12AA" w14:textId="77777777" w:rsidTr="000038E0">
        <w:trPr>
          <w:trHeight w:val="537"/>
        </w:trPr>
        <w:tc>
          <w:tcPr>
            <w:tcW w:w="1001" w:type="dxa"/>
          </w:tcPr>
          <w:p w14:paraId="1A3BCB32" w14:textId="77777777" w:rsidR="00CF038A" w:rsidRPr="00687AF6" w:rsidRDefault="00CF038A" w:rsidP="00CF038A">
            <w:pPr>
              <w:rPr>
                <w:rFonts w:cstheme="minorHAnsi"/>
                <w:sz w:val="24"/>
                <w:szCs w:val="24"/>
              </w:rPr>
            </w:pPr>
            <w:r w:rsidRPr="00687AF6">
              <w:rPr>
                <w:rFonts w:cstheme="minorHAnsi"/>
                <w:sz w:val="24"/>
                <w:szCs w:val="24"/>
              </w:rPr>
              <w:t>9</w:t>
            </w:r>
          </w:p>
        </w:tc>
        <w:tc>
          <w:tcPr>
            <w:tcW w:w="8066" w:type="dxa"/>
            <w:gridSpan w:val="4"/>
            <w:tcBorders>
              <w:top w:val="single" w:sz="4" w:space="0" w:color="auto"/>
              <w:left w:val="nil"/>
              <w:bottom w:val="single" w:sz="4" w:space="0" w:color="auto"/>
              <w:right w:val="single" w:sz="4" w:space="0" w:color="auto"/>
            </w:tcBorders>
            <w:shd w:val="clear" w:color="auto" w:fill="auto"/>
          </w:tcPr>
          <w:p w14:paraId="02EEF224" w14:textId="1D7A8460" w:rsidR="00CF038A" w:rsidRPr="00687AF6" w:rsidRDefault="00CF038A" w:rsidP="00CF038A">
            <w:pPr>
              <w:rPr>
                <w:rFonts w:cstheme="minorHAnsi"/>
                <w:sz w:val="24"/>
                <w:szCs w:val="24"/>
              </w:rPr>
            </w:pPr>
            <w:r w:rsidRPr="00CF038A">
              <w:rPr>
                <w:rFonts w:cstheme="minorHAnsi"/>
                <w:sz w:val="24"/>
                <w:szCs w:val="24"/>
              </w:rPr>
              <w:t>Explain the concept of sexual pleasure as a normal and healthy part of consensual relationships, while also recognising how this is often misrepresented or overlooked in formal and informal sources.</w:t>
            </w:r>
          </w:p>
        </w:tc>
      </w:tr>
      <w:tr w:rsidR="00CF038A" w:rsidRPr="00687AF6" w14:paraId="374088BC" w14:textId="77777777" w:rsidTr="002F264F">
        <w:trPr>
          <w:trHeight w:val="537"/>
        </w:trPr>
        <w:tc>
          <w:tcPr>
            <w:tcW w:w="1001" w:type="dxa"/>
            <w:shd w:val="clear" w:color="auto" w:fill="FFFF00"/>
          </w:tcPr>
          <w:p w14:paraId="17D81820" w14:textId="7FA91360" w:rsidR="00CF038A" w:rsidRPr="00687AF6" w:rsidRDefault="00CF038A" w:rsidP="00CF038A">
            <w:pPr>
              <w:rPr>
                <w:rFonts w:cstheme="minorHAnsi"/>
                <w:sz w:val="24"/>
                <w:szCs w:val="24"/>
              </w:rPr>
            </w:pPr>
            <w:r>
              <w:rPr>
                <w:rFonts w:cstheme="minorHAnsi"/>
                <w:sz w:val="24"/>
                <w:szCs w:val="24"/>
              </w:rPr>
              <w:t>10</w:t>
            </w:r>
          </w:p>
        </w:tc>
        <w:tc>
          <w:tcPr>
            <w:tcW w:w="8066" w:type="dxa"/>
            <w:gridSpan w:val="4"/>
            <w:tcBorders>
              <w:top w:val="single" w:sz="4" w:space="0" w:color="auto"/>
              <w:left w:val="nil"/>
              <w:bottom w:val="single" w:sz="4" w:space="0" w:color="auto"/>
              <w:right w:val="single" w:sz="4" w:space="0" w:color="auto"/>
            </w:tcBorders>
            <w:shd w:val="clear" w:color="auto" w:fill="auto"/>
          </w:tcPr>
          <w:p w14:paraId="58224F14" w14:textId="533F2297" w:rsidR="00CF038A" w:rsidRPr="00687AF6" w:rsidRDefault="00CF038A" w:rsidP="00CF038A">
            <w:pPr>
              <w:rPr>
                <w:rFonts w:cstheme="minorHAnsi"/>
                <w:sz w:val="24"/>
                <w:szCs w:val="24"/>
              </w:rPr>
            </w:pPr>
            <w:r w:rsidRPr="00CF038A">
              <w:rPr>
                <w:rFonts w:cstheme="minorHAnsi"/>
                <w:sz w:val="24"/>
                <w:szCs w:val="24"/>
              </w:rPr>
              <w:t>Explore challenges and pressures related to sex and relationships, including social media, body image, peer pressure, cultural expectations, and emotional readiness.</w:t>
            </w:r>
          </w:p>
        </w:tc>
      </w:tr>
      <w:tr w:rsidR="00CF038A" w:rsidRPr="00687AF6" w14:paraId="76BC0C43" w14:textId="77777777" w:rsidTr="002F264F">
        <w:trPr>
          <w:trHeight w:val="537"/>
        </w:trPr>
        <w:tc>
          <w:tcPr>
            <w:tcW w:w="1001" w:type="dxa"/>
            <w:shd w:val="clear" w:color="auto" w:fill="00B0F0"/>
          </w:tcPr>
          <w:p w14:paraId="66F4D774" w14:textId="582F7F25" w:rsidR="00CF038A" w:rsidRPr="00687AF6" w:rsidRDefault="00CF038A" w:rsidP="00CF038A">
            <w:pPr>
              <w:rPr>
                <w:rFonts w:cstheme="minorHAnsi"/>
                <w:sz w:val="24"/>
                <w:szCs w:val="24"/>
              </w:rPr>
            </w:pPr>
            <w:r>
              <w:rPr>
                <w:rFonts w:cstheme="minorHAnsi"/>
                <w:sz w:val="24"/>
                <w:szCs w:val="24"/>
              </w:rPr>
              <w:t>11</w:t>
            </w:r>
          </w:p>
        </w:tc>
        <w:tc>
          <w:tcPr>
            <w:tcW w:w="8066" w:type="dxa"/>
            <w:gridSpan w:val="4"/>
            <w:tcBorders>
              <w:top w:val="single" w:sz="4" w:space="0" w:color="auto"/>
              <w:left w:val="nil"/>
              <w:bottom w:val="single" w:sz="4" w:space="0" w:color="auto"/>
              <w:right w:val="single" w:sz="4" w:space="0" w:color="auto"/>
            </w:tcBorders>
            <w:shd w:val="clear" w:color="auto" w:fill="auto"/>
          </w:tcPr>
          <w:p w14:paraId="59FA69DC" w14:textId="6E67D9DD" w:rsidR="00CF038A" w:rsidRPr="00687AF6" w:rsidRDefault="00CF038A" w:rsidP="00CF038A">
            <w:pPr>
              <w:rPr>
                <w:rFonts w:cstheme="minorHAnsi"/>
                <w:sz w:val="24"/>
                <w:szCs w:val="24"/>
              </w:rPr>
            </w:pPr>
            <w:r w:rsidRPr="00CF038A">
              <w:rPr>
                <w:rFonts w:cstheme="minorHAnsi"/>
                <w:sz w:val="24"/>
                <w:szCs w:val="24"/>
              </w:rPr>
              <w:t>Develop strategies to communicate clearly and assertively in relationships, including how to express boundaries, negotiate safer sex, and deal with difficult or unsafe situations.</w:t>
            </w:r>
          </w:p>
        </w:tc>
      </w:tr>
      <w:tr w:rsidR="00CF038A" w:rsidRPr="00687AF6" w14:paraId="7067EA0F" w14:textId="77777777" w:rsidTr="002F264F">
        <w:trPr>
          <w:trHeight w:val="537"/>
        </w:trPr>
        <w:tc>
          <w:tcPr>
            <w:tcW w:w="1001" w:type="dxa"/>
            <w:shd w:val="clear" w:color="auto" w:fill="FFFF00"/>
          </w:tcPr>
          <w:p w14:paraId="7ADCC9B9" w14:textId="39E92E4E" w:rsidR="00CF038A" w:rsidRPr="00687AF6" w:rsidRDefault="00CF038A" w:rsidP="00CF038A">
            <w:pPr>
              <w:rPr>
                <w:rFonts w:cstheme="minorHAnsi"/>
                <w:sz w:val="24"/>
                <w:szCs w:val="24"/>
              </w:rPr>
            </w:pPr>
            <w:r>
              <w:rPr>
                <w:rFonts w:cstheme="minorHAnsi"/>
                <w:sz w:val="24"/>
                <w:szCs w:val="24"/>
              </w:rPr>
              <w:t>12</w:t>
            </w:r>
          </w:p>
        </w:tc>
        <w:tc>
          <w:tcPr>
            <w:tcW w:w="8066" w:type="dxa"/>
            <w:gridSpan w:val="4"/>
            <w:tcBorders>
              <w:top w:val="single" w:sz="4" w:space="0" w:color="auto"/>
              <w:left w:val="nil"/>
              <w:bottom w:val="single" w:sz="4" w:space="0" w:color="auto"/>
              <w:right w:val="single" w:sz="4" w:space="0" w:color="auto"/>
            </w:tcBorders>
            <w:shd w:val="clear" w:color="auto" w:fill="auto"/>
          </w:tcPr>
          <w:p w14:paraId="0333AC5C" w14:textId="06136AB4" w:rsidR="00CF038A" w:rsidRPr="00687AF6" w:rsidRDefault="00CF038A" w:rsidP="00CF038A">
            <w:pPr>
              <w:rPr>
                <w:rFonts w:cstheme="minorHAnsi"/>
                <w:sz w:val="24"/>
                <w:szCs w:val="24"/>
              </w:rPr>
            </w:pPr>
            <w:r w:rsidRPr="00CF038A">
              <w:rPr>
                <w:rFonts w:cstheme="minorHAnsi"/>
                <w:sz w:val="24"/>
                <w:szCs w:val="24"/>
              </w:rPr>
              <w:t>Reflect on their own values, attitudes, and expectations around sex and relationships, and understand how these are shaped by upbringing, culture, faith, and media influences.</w:t>
            </w:r>
          </w:p>
        </w:tc>
      </w:tr>
    </w:tbl>
    <w:p w14:paraId="4D50AA4D" w14:textId="5B51EB33" w:rsidR="00C96B26" w:rsidRPr="00687AF6" w:rsidRDefault="00920585">
      <w:pPr>
        <w:rPr>
          <w:rFonts w:cstheme="minorHAnsi"/>
          <w:sz w:val="24"/>
          <w:szCs w:val="24"/>
        </w:rPr>
      </w:pPr>
      <w:r w:rsidRPr="00687AF6">
        <w:rPr>
          <w:rFonts w:cstheme="minorHAnsi"/>
          <w:sz w:val="24"/>
          <w:szCs w:val="24"/>
        </w:rPr>
        <w:lastRenderedPageBreak/>
        <w:t>Tier Three Keywords:</w:t>
      </w:r>
    </w:p>
    <w:tbl>
      <w:tblPr>
        <w:tblStyle w:val="TableGrid"/>
        <w:tblW w:w="0" w:type="auto"/>
        <w:tblLook w:val="04A0" w:firstRow="1" w:lastRow="0" w:firstColumn="1" w:lastColumn="0" w:noHBand="0" w:noVBand="1"/>
      </w:tblPr>
      <w:tblGrid>
        <w:gridCol w:w="1460"/>
        <w:gridCol w:w="1489"/>
        <w:gridCol w:w="1487"/>
        <w:gridCol w:w="1611"/>
        <w:gridCol w:w="1501"/>
        <w:gridCol w:w="1468"/>
      </w:tblGrid>
      <w:tr w:rsidR="005649CB" w:rsidRPr="00687AF6" w14:paraId="56E7C716" w14:textId="77777777" w:rsidTr="005649CB">
        <w:tc>
          <w:tcPr>
            <w:tcW w:w="1460" w:type="dxa"/>
          </w:tcPr>
          <w:p w14:paraId="3ED141E8" w14:textId="54114C59" w:rsidR="00920585" w:rsidRPr="00687AF6" w:rsidRDefault="008E0DDD">
            <w:pPr>
              <w:rPr>
                <w:rFonts w:cstheme="minorHAnsi"/>
                <w:sz w:val="24"/>
                <w:szCs w:val="24"/>
              </w:rPr>
            </w:pPr>
            <w:r>
              <w:rPr>
                <w:rFonts w:cstheme="minorHAnsi"/>
                <w:sz w:val="24"/>
                <w:szCs w:val="24"/>
              </w:rPr>
              <w:t>Sex</w:t>
            </w:r>
          </w:p>
        </w:tc>
        <w:tc>
          <w:tcPr>
            <w:tcW w:w="1489" w:type="dxa"/>
          </w:tcPr>
          <w:p w14:paraId="7CDA4861" w14:textId="5B39F65D" w:rsidR="00920585" w:rsidRPr="00687AF6" w:rsidRDefault="008E0DDD">
            <w:pPr>
              <w:rPr>
                <w:rFonts w:cstheme="minorHAnsi"/>
                <w:sz w:val="24"/>
                <w:szCs w:val="24"/>
              </w:rPr>
            </w:pPr>
            <w:r>
              <w:rPr>
                <w:rFonts w:cstheme="minorHAnsi"/>
                <w:sz w:val="24"/>
                <w:szCs w:val="24"/>
              </w:rPr>
              <w:t>Intercourse</w:t>
            </w:r>
          </w:p>
        </w:tc>
        <w:tc>
          <w:tcPr>
            <w:tcW w:w="1487" w:type="dxa"/>
          </w:tcPr>
          <w:p w14:paraId="5D17AF0B" w14:textId="3FF0899C" w:rsidR="00920585" w:rsidRPr="00687AF6" w:rsidRDefault="008E0DDD">
            <w:pPr>
              <w:rPr>
                <w:rFonts w:cstheme="minorHAnsi"/>
                <w:sz w:val="24"/>
                <w:szCs w:val="24"/>
              </w:rPr>
            </w:pPr>
            <w:r>
              <w:rPr>
                <w:rFonts w:cstheme="minorHAnsi"/>
                <w:sz w:val="24"/>
                <w:szCs w:val="24"/>
              </w:rPr>
              <w:t>Consent</w:t>
            </w:r>
          </w:p>
        </w:tc>
        <w:tc>
          <w:tcPr>
            <w:tcW w:w="1611" w:type="dxa"/>
          </w:tcPr>
          <w:p w14:paraId="70A311EF" w14:textId="50FC0118" w:rsidR="00920585" w:rsidRPr="00687AF6" w:rsidRDefault="008E0DDD">
            <w:pPr>
              <w:rPr>
                <w:rFonts w:cstheme="minorHAnsi"/>
                <w:sz w:val="24"/>
                <w:szCs w:val="24"/>
              </w:rPr>
            </w:pPr>
            <w:r>
              <w:rPr>
                <w:rFonts w:cstheme="minorHAnsi"/>
                <w:sz w:val="24"/>
                <w:szCs w:val="24"/>
              </w:rPr>
              <w:t>Contraception</w:t>
            </w:r>
          </w:p>
        </w:tc>
        <w:tc>
          <w:tcPr>
            <w:tcW w:w="1501" w:type="dxa"/>
          </w:tcPr>
          <w:p w14:paraId="3AF3EEF7" w14:textId="723079FA" w:rsidR="00920585" w:rsidRPr="00687AF6" w:rsidRDefault="008E0DDD">
            <w:pPr>
              <w:rPr>
                <w:rFonts w:cstheme="minorHAnsi"/>
                <w:sz w:val="24"/>
                <w:szCs w:val="24"/>
              </w:rPr>
            </w:pPr>
            <w:r>
              <w:rPr>
                <w:rFonts w:cstheme="minorHAnsi"/>
                <w:sz w:val="24"/>
                <w:szCs w:val="24"/>
              </w:rPr>
              <w:t xml:space="preserve">Condom </w:t>
            </w:r>
          </w:p>
        </w:tc>
        <w:tc>
          <w:tcPr>
            <w:tcW w:w="1468" w:type="dxa"/>
          </w:tcPr>
          <w:p w14:paraId="3B235E5C" w14:textId="663D6186" w:rsidR="00920585" w:rsidRPr="00687AF6" w:rsidRDefault="008E0DDD">
            <w:pPr>
              <w:rPr>
                <w:rFonts w:cstheme="minorHAnsi"/>
                <w:sz w:val="24"/>
                <w:szCs w:val="24"/>
              </w:rPr>
            </w:pPr>
            <w:r>
              <w:rPr>
                <w:rFonts w:cstheme="minorHAnsi"/>
                <w:sz w:val="24"/>
                <w:szCs w:val="24"/>
              </w:rPr>
              <w:t>Pill</w:t>
            </w:r>
          </w:p>
        </w:tc>
      </w:tr>
      <w:tr w:rsidR="005649CB" w:rsidRPr="00687AF6" w14:paraId="5DC8C621" w14:textId="77777777" w:rsidTr="005649CB">
        <w:tc>
          <w:tcPr>
            <w:tcW w:w="1460" w:type="dxa"/>
          </w:tcPr>
          <w:p w14:paraId="14CD84C4" w14:textId="6692D4CC" w:rsidR="00920585" w:rsidRPr="00687AF6" w:rsidRDefault="008E0DDD">
            <w:pPr>
              <w:rPr>
                <w:rFonts w:cstheme="minorHAnsi"/>
                <w:sz w:val="24"/>
                <w:szCs w:val="24"/>
              </w:rPr>
            </w:pPr>
            <w:r>
              <w:rPr>
                <w:rFonts w:cstheme="minorHAnsi"/>
                <w:sz w:val="24"/>
                <w:szCs w:val="24"/>
              </w:rPr>
              <w:t>Implant</w:t>
            </w:r>
          </w:p>
        </w:tc>
        <w:tc>
          <w:tcPr>
            <w:tcW w:w="1489" w:type="dxa"/>
          </w:tcPr>
          <w:p w14:paraId="2B6B0AA7" w14:textId="17AA7C6E" w:rsidR="00920585" w:rsidRPr="00687AF6" w:rsidRDefault="008E0DDD">
            <w:pPr>
              <w:rPr>
                <w:rFonts w:cstheme="minorHAnsi"/>
                <w:sz w:val="24"/>
                <w:szCs w:val="24"/>
              </w:rPr>
            </w:pPr>
            <w:r>
              <w:rPr>
                <w:rFonts w:cstheme="minorHAnsi"/>
                <w:sz w:val="24"/>
                <w:szCs w:val="24"/>
              </w:rPr>
              <w:t>IUD / coil</w:t>
            </w:r>
          </w:p>
        </w:tc>
        <w:tc>
          <w:tcPr>
            <w:tcW w:w="1487" w:type="dxa"/>
          </w:tcPr>
          <w:p w14:paraId="44846C07" w14:textId="19C995F6" w:rsidR="00920585" w:rsidRPr="00687AF6" w:rsidRDefault="008E0DDD">
            <w:pPr>
              <w:rPr>
                <w:rFonts w:cstheme="minorHAnsi"/>
                <w:sz w:val="24"/>
                <w:szCs w:val="24"/>
              </w:rPr>
            </w:pPr>
            <w:r>
              <w:rPr>
                <w:rFonts w:cstheme="minorHAnsi"/>
                <w:sz w:val="24"/>
                <w:szCs w:val="24"/>
              </w:rPr>
              <w:t>Abstinence</w:t>
            </w:r>
          </w:p>
        </w:tc>
        <w:tc>
          <w:tcPr>
            <w:tcW w:w="1611" w:type="dxa"/>
          </w:tcPr>
          <w:p w14:paraId="27312DB3" w14:textId="46ED7E8F" w:rsidR="00920585" w:rsidRPr="00687AF6" w:rsidRDefault="008E0DDD">
            <w:pPr>
              <w:rPr>
                <w:rFonts w:cstheme="minorHAnsi"/>
                <w:sz w:val="24"/>
                <w:szCs w:val="24"/>
              </w:rPr>
            </w:pPr>
            <w:r>
              <w:rPr>
                <w:rFonts w:cstheme="minorHAnsi"/>
                <w:sz w:val="24"/>
                <w:szCs w:val="24"/>
              </w:rPr>
              <w:t>STI</w:t>
            </w:r>
          </w:p>
        </w:tc>
        <w:tc>
          <w:tcPr>
            <w:tcW w:w="1501" w:type="dxa"/>
          </w:tcPr>
          <w:p w14:paraId="24B2E7BF" w14:textId="313AABC0" w:rsidR="00920585" w:rsidRPr="00687AF6" w:rsidRDefault="005649CB">
            <w:pPr>
              <w:rPr>
                <w:rFonts w:cstheme="minorHAnsi"/>
                <w:sz w:val="24"/>
                <w:szCs w:val="24"/>
              </w:rPr>
            </w:pPr>
            <w:r>
              <w:rPr>
                <w:rFonts w:cstheme="minorHAnsi"/>
                <w:sz w:val="24"/>
                <w:szCs w:val="24"/>
              </w:rPr>
              <w:t>Pornography</w:t>
            </w:r>
          </w:p>
        </w:tc>
        <w:tc>
          <w:tcPr>
            <w:tcW w:w="1468" w:type="dxa"/>
          </w:tcPr>
          <w:p w14:paraId="7E715B4E" w14:textId="5D1C00BC" w:rsidR="00920585" w:rsidRPr="00687AF6" w:rsidRDefault="005649CB">
            <w:pPr>
              <w:rPr>
                <w:rFonts w:cstheme="minorHAnsi"/>
                <w:sz w:val="24"/>
                <w:szCs w:val="24"/>
              </w:rPr>
            </w:pPr>
            <w:r>
              <w:rPr>
                <w:rFonts w:cstheme="minorHAnsi"/>
                <w:sz w:val="24"/>
                <w:szCs w:val="24"/>
              </w:rPr>
              <w:t>Pressure</w:t>
            </w:r>
          </w:p>
        </w:tc>
      </w:tr>
    </w:tbl>
    <w:p w14:paraId="5ECA3170" w14:textId="272F6366" w:rsidR="00C96B26" w:rsidRPr="00687AF6" w:rsidRDefault="00920585">
      <w:pPr>
        <w:rPr>
          <w:rFonts w:cstheme="minorHAnsi"/>
          <w:sz w:val="24"/>
          <w:szCs w:val="24"/>
        </w:rPr>
      </w:pPr>
      <w:r w:rsidRPr="00687AF6">
        <w:rPr>
          <w:rFonts w:cstheme="minorHAnsi"/>
          <w:sz w:val="24"/>
          <w:szCs w:val="24"/>
        </w:rPr>
        <w:t>Recommended Reading:</w:t>
      </w:r>
    </w:p>
    <w:tbl>
      <w:tblPr>
        <w:tblStyle w:val="TableGrid"/>
        <w:tblW w:w="0" w:type="auto"/>
        <w:tblLook w:val="04A0" w:firstRow="1" w:lastRow="0" w:firstColumn="1" w:lastColumn="0" w:noHBand="0" w:noVBand="1"/>
      </w:tblPr>
      <w:tblGrid>
        <w:gridCol w:w="9016"/>
      </w:tblGrid>
      <w:tr w:rsidR="00B245FA" w:rsidRPr="00687AF6" w14:paraId="430E0E26" w14:textId="77777777" w:rsidTr="00920585">
        <w:tc>
          <w:tcPr>
            <w:tcW w:w="9016" w:type="dxa"/>
          </w:tcPr>
          <w:p w14:paraId="37E9D133" w14:textId="77777777" w:rsidR="00327C14" w:rsidRDefault="008E0DDD" w:rsidP="00CF038A">
            <w:pPr>
              <w:shd w:val="clear" w:color="auto" w:fill="FFFFFF"/>
              <w:spacing w:before="240" w:after="120"/>
              <w:outlineLvl w:val="3"/>
              <w:rPr>
                <w:rFonts w:eastAsia="Times New Roman" w:cstheme="minorHAnsi"/>
                <w:i/>
                <w:iCs/>
                <w:sz w:val="24"/>
                <w:szCs w:val="24"/>
                <w:lang w:eastAsia="en-GB"/>
              </w:rPr>
            </w:pPr>
            <w:r>
              <w:rPr>
                <w:rFonts w:eastAsia="Times New Roman" w:cstheme="minorHAnsi"/>
                <w:i/>
                <w:iCs/>
                <w:sz w:val="24"/>
                <w:szCs w:val="24"/>
                <w:lang w:eastAsia="en-GB"/>
              </w:rPr>
              <w:t xml:space="preserve">Just Listen – Sarah </w:t>
            </w:r>
            <w:proofErr w:type="spellStart"/>
            <w:r>
              <w:rPr>
                <w:rFonts w:eastAsia="Times New Roman" w:cstheme="minorHAnsi"/>
                <w:i/>
                <w:iCs/>
                <w:sz w:val="24"/>
                <w:szCs w:val="24"/>
                <w:lang w:eastAsia="en-GB"/>
              </w:rPr>
              <w:t>Dessen</w:t>
            </w:r>
            <w:proofErr w:type="spellEnd"/>
          </w:p>
          <w:p w14:paraId="0FCCE8DD" w14:textId="4854B3C1" w:rsidR="005649CB" w:rsidRPr="00687AF6" w:rsidRDefault="005649CB" w:rsidP="005649CB">
            <w:pPr>
              <w:shd w:val="clear" w:color="auto" w:fill="FFFFFF"/>
              <w:spacing w:before="240" w:after="120"/>
              <w:outlineLvl w:val="3"/>
              <w:rPr>
                <w:rFonts w:eastAsia="Times New Roman" w:cstheme="minorHAnsi"/>
                <w:i/>
                <w:iCs/>
                <w:sz w:val="24"/>
                <w:szCs w:val="24"/>
                <w:lang w:eastAsia="en-GB"/>
              </w:rPr>
            </w:pPr>
            <w:r w:rsidRPr="005649CB">
              <w:rPr>
                <w:rFonts w:eastAsia="Times New Roman" w:cstheme="minorHAnsi"/>
                <w:i/>
                <w:iCs/>
                <w:noProof/>
                <w:sz w:val="24"/>
                <w:szCs w:val="24"/>
                <w:lang w:eastAsia="en-GB"/>
              </w:rPr>
              <w:drawing>
                <wp:anchor distT="0" distB="0" distL="114300" distR="114300" simplePos="0" relativeHeight="251658240" behindDoc="1" locked="0" layoutInCell="1" allowOverlap="1" wp14:anchorId="22F45034" wp14:editId="5ABF9A8D">
                  <wp:simplePos x="0" y="0"/>
                  <wp:positionH relativeFrom="column">
                    <wp:posOffset>4445</wp:posOffset>
                  </wp:positionH>
                  <wp:positionV relativeFrom="paragraph">
                    <wp:posOffset>74295</wp:posOffset>
                  </wp:positionV>
                  <wp:extent cx="1615771" cy="2359025"/>
                  <wp:effectExtent l="0" t="0" r="3810" b="3175"/>
                  <wp:wrapTight wrapText="bothSides">
                    <wp:wrapPolygon edited="0">
                      <wp:start x="0" y="0"/>
                      <wp:lineTo x="0" y="21455"/>
                      <wp:lineTo x="21396" y="21455"/>
                      <wp:lineTo x="2139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1615771" cy="2359025"/>
                          </a:xfrm>
                          <a:prstGeom prst="rect">
                            <a:avLst/>
                          </a:prstGeom>
                        </pic:spPr>
                      </pic:pic>
                    </a:graphicData>
                  </a:graphic>
                </wp:anchor>
              </w:drawing>
            </w:r>
            <w:r>
              <w:t xml:space="preserve"> </w:t>
            </w:r>
            <w:r w:rsidRPr="005649CB">
              <w:rPr>
                <w:rFonts w:eastAsia="Times New Roman" w:cstheme="minorHAnsi"/>
                <w:i/>
                <w:iCs/>
                <w:sz w:val="24"/>
                <w:szCs w:val="24"/>
                <w:lang w:eastAsia="en-GB"/>
              </w:rPr>
              <w:t>Annabel Greene is a girl who has it all—at least, that's how it seems on TV commercials. Annabel's life is far from perfect. Her friendship with her best friends Clarke and Sophie ended bitterly. This left her alone and friendless at the beginning of a new school year. Later on, Annabel was sexually assaulted by Sophie's boyfriend Will Cash. In the midst of her isolation, she meets Owen—a music-obsessed, intense classmate who, after taking an anger management class, is determined to tell the truth. With his help, Annabel may start facing her fears—and more importantly, speaking the truth to herself.</w:t>
            </w:r>
          </w:p>
        </w:tc>
      </w:tr>
    </w:tbl>
    <w:p w14:paraId="1C76E45F" w14:textId="1E726078" w:rsidR="00C96B26" w:rsidRPr="00687AF6" w:rsidRDefault="00C96B26">
      <w:pPr>
        <w:rPr>
          <w:rFonts w:cstheme="minorHAnsi"/>
          <w:sz w:val="24"/>
          <w:szCs w:val="24"/>
        </w:rPr>
      </w:pPr>
    </w:p>
    <w:sectPr w:rsidR="00C96B26" w:rsidRPr="00687A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038E0"/>
    <w:rsid w:val="00014922"/>
    <w:rsid w:val="00022828"/>
    <w:rsid w:val="000268B5"/>
    <w:rsid w:val="00044D37"/>
    <w:rsid w:val="000D1F7C"/>
    <w:rsid w:val="000E349C"/>
    <w:rsid w:val="000E496D"/>
    <w:rsid w:val="0011526F"/>
    <w:rsid w:val="00152E58"/>
    <w:rsid w:val="001767DC"/>
    <w:rsid w:val="001B080A"/>
    <w:rsid w:val="001C2B70"/>
    <w:rsid w:val="002402A8"/>
    <w:rsid w:val="002F264F"/>
    <w:rsid w:val="00327C14"/>
    <w:rsid w:val="00387FE0"/>
    <w:rsid w:val="003D70EC"/>
    <w:rsid w:val="00455F38"/>
    <w:rsid w:val="004D1CD6"/>
    <w:rsid w:val="005649CB"/>
    <w:rsid w:val="005C2ADA"/>
    <w:rsid w:val="00687AF6"/>
    <w:rsid w:val="00695526"/>
    <w:rsid w:val="00770758"/>
    <w:rsid w:val="007726CC"/>
    <w:rsid w:val="007E5C02"/>
    <w:rsid w:val="007F2E01"/>
    <w:rsid w:val="007F304C"/>
    <w:rsid w:val="0082039C"/>
    <w:rsid w:val="00832998"/>
    <w:rsid w:val="00846C0E"/>
    <w:rsid w:val="00863441"/>
    <w:rsid w:val="00877415"/>
    <w:rsid w:val="008C0A32"/>
    <w:rsid w:val="008D477B"/>
    <w:rsid w:val="008E0DDD"/>
    <w:rsid w:val="008F0343"/>
    <w:rsid w:val="008F6C26"/>
    <w:rsid w:val="00917AD4"/>
    <w:rsid w:val="00920585"/>
    <w:rsid w:val="0093225F"/>
    <w:rsid w:val="009352F5"/>
    <w:rsid w:val="009D0BFB"/>
    <w:rsid w:val="009E6F6F"/>
    <w:rsid w:val="00AD03F7"/>
    <w:rsid w:val="00AF4C1A"/>
    <w:rsid w:val="00B10A0F"/>
    <w:rsid w:val="00B245FA"/>
    <w:rsid w:val="00B4349B"/>
    <w:rsid w:val="00C43E4B"/>
    <w:rsid w:val="00C7031D"/>
    <w:rsid w:val="00C96B26"/>
    <w:rsid w:val="00CF038A"/>
    <w:rsid w:val="00D45D6C"/>
    <w:rsid w:val="00D944D3"/>
    <w:rsid w:val="00F04698"/>
    <w:rsid w:val="00F36E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paragraph" w:customStyle="1" w:styleId="paragraph">
    <w:name w:val="paragraph"/>
    <w:basedOn w:val="Normal"/>
    <w:rsid w:val="00D45D6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45D6C"/>
  </w:style>
  <w:style w:type="character" w:customStyle="1" w:styleId="eop">
    <w:name w:val="eop"/>
    <w:basedOn w:val="DefaultParagraphFont"/>
    <w:rsid w:val="00D45D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2097089942">
      <w:bodyDiv w:val="1"/>
      <w:marLeft w:val="0"/>
      <w:marRight w:val="0"/>
      <w:marTop w:val="0"/>
      <w:marBottom w:val="0"/>
      <w:divBdr>
        <w:top w:val="none" w:sz="0" w:space="0" w:color="auto"/>
        <w:left w:val="none" w:sz="0" w:space="0" w:color="auto"/>
        <w:bottom w:val="none" w:sz="0" w:space="0" w:color="auto"/>
        <w:right w:val="none" w:sz="0" w:space="0" w:color="auto"/>
      </w:divBdr>
      <w:divsChild>
        <w:div w:id="834107431">
          <w:marLeft w:val="0"/>
          <w:marRight w:val="0"/>
          <w:marTop w:val="0"/>
          <w:marBottom w:val="0"/>
          <w:divBdr>
            <w:top w:val="none" w:sz="0" w:space="0" w:color="auto"/>
            <w:left w:val="none" w:sz="0" w:space="0" w:color="auto"/>
            <w:bottom w:val="none" w:sz="0" w:space="0" w:color="auto"/>
            <w:right w:val="none" w:sz="0" w:space="0" w:color="auto"/>
          </w:divBdr>
        </w:div>
        <w:div w:id="5687326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11F965-6B26-4B9C-806A-5CE0CFA2B7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541</Words>
  <Characters>3090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Milly Latham (Kenwood)</cp:lastModifiedBy>
  <cp:revision>2</cp:revision>
  <dcterms:created xsi:type="dcterms:W3CDTF">2025-09-16T09:08:00Z</dcterms:created>
  <dcterms:modified xsi:type="dcterms:W3CDTF">2025-09-16T09:08:00Z</dcterms:modified>
</cp:coreProperties>
</file>