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8926" w:type="dxa"/>
        <w:tblLook w:val="04A0" w:firstRow="1" w:lastRow="0" w:firstColumn="1" w:lastColumn="0" w:noHBand="0" w:noVBand="1"/>
      </w:tblPr>
      <w:tblGrid>
        <w:gridCol w:w="1001"/>
        <w:gridCol w:w="405"/>
        <w:gridCol w:w="1389"/>
        <w:gridCol w:w="2532"/>
        <w:gridCol w:w="3599"/>
      </w:tblGrid>
      <w:tr w:rsidR="000C3F64" w:rsidRPr="00B245FA" w14:paraId="2A531455" w14:textId="77777777" w:rsidTr="000C3F64">
        <w:trPr>
          <w:trHeight w:val="557"/>
        </w:trPr>
        <w:tc>
          <w:tcPr>
            <w:tcW w:w="2795" w:type="dxa"/>
            <w:gridSpan w:val="3"/>
            <w:shd w:val="clear" w:color="auto" w:fill="auto"/>
          </w:tcPr>
          <w:p w14:paraId="056BEAE1" w14:textId="762CAA5D" w:rsidR="000C3F64" w:rsidRPr="00B245FA" w:rsidRDefault="000C3F64"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D81D41">
              <w:rPr>
                <w:rFonts w:ascii="Verdana" w:hAnsi="Verdana"/>
                <w:b/>
                <w:bCs/>
                <w:sz w:val="24"/>
                <w:szCs w:val="24"/>
              </w:rPr>
              <w:t>M04</w:t>
            </w:r>
          </w:p>
        </w:tc>
        <w:tc>
          <w:tcPr>
            <w:tcW w:w="2532" w:type="dxa"/>
            <w:shd w:val="clear" w:color="auto" w:fill="auto"/>
          </w:tcPr>
          <w:p w14:paraId="0668CB99" w14:textId="77777777" w:rsidR="000C3F64" w:rsidRDefault="000C3F64"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0C3F64" w:rsidRPr="00B245FA" w:rsidRDefault="000C3F64" w:rsidP="00B245FA">
            <w:pPr>
              <w:rPr>
                <w:rFonts w:ascii="Verdana" w:hAnsi="Verdana"/>
                <w:b/>
                <w:bCs/>
                <w:sz w:val="24"/>
                <w:szCs w:val="24"/>
              </w:rPr>
            </w:pPr>
            <w:r>
              <w:rPr>
                <w:rFonts w:ascii="Verdana" w:hAnsi="Verdana"/>
                <w:b/>
                <w:bCs/>
                <w:sz w:val="24"/>
                <w:szCs w:val="24"/>
              </w:rPr>
              <w:t>PSHE</w:t>
            </w:r>
          </w:p>
        </w:tc>
        <w:tc>
          <w:tcPr>
            <w:tcW w:w="3599" w:type="dxa"/>
            <w:shd w:val="clear" w:color="auto" w:fill="auto"/>
          </w:tcPr>
          <w:p w14:paraId="5FD2855C" w14:textId="2A9096A4" w:rsidR="000C3F64" w:rsidRPr="00B245FA" w:rsidRDefault="000C3F64" w:rsidP="00B245FA">
            <w:pPr>
              <w:rPr>
                <w:rFonts w:ascii="Verdana" w:hAnsi="Verdana"/>
                <w:b/>
                <w:bCs/>
                <w:sz w:val="24"/>
                <w:szCs w:val="24"/>
              </w:rPr>
            </w:pPr>
            <w:r w:rsidRPr="00B245FA">
              <w:rPr>
                <w:rFonts w:ascii="Verdana" w:hAnsi="Verdana"/>
                <w:b/>
                <w:bCs/>
                <w:sz w:val="24"/>
                <w:szCs w:val="24"/>
              </w:rPr>
              <w:t xml:space="preserve">Term: </w:t>
            </w:r>
            <w:r w:rsidR="00D81D41">
              <w:rPr>
                <w:rFonts w:ascii="Verdana" w:hAnsi="Verdana"/>
                <w:b/>
                <w:bCs/>
                <w:sz w:val="24"/>
                <w:szCs w:val="24"/>
              </w:rPr>
              <w:t>1</w:t>
            </w:r>
          </w:p>
        </w:tc>
      </w:tr>
      <w:tr w:rsidR="000C3F64" w:rsidRPr="00B245FA" w14:paraId="736F6FB1" w14:textId="77777777" w:rsidTr="000C3F64">
        <w:trPr>
          <w:trHeight w:val="412"/>
        </w:trPr>
        <w:tc>
          <w:tcPr>
            <w:tcW w:w="1406" w:type="dxa"/>
            <w:gridSpan w:val="2"/>
            <w:shd w:val="clear" w:color="auto" w:fill="auto"/>
          </w:tcPr>
          <w:p w14:paraId="503FC8A9" w14:textId="77777777" w:rsidR="000C3F64" w:rsidRPr="00B245FA" w:rsidRDefault="000C3F64" w:rsidP="00B245FA">
            <w:pPr>
              <w:rPr>
                <w:rFonts w:ascii="Verdana" w:hAnsi="Verdana"/>
                <w:b/>
                <w:bCs/>
                <w:sz w:val="24"/>
                <w:szCs w:val="24"/>
              </w:rPr>
            </w:pPr>
            <w:r w:rsidRPr="00B245FA">
              <w:rPr>
                <w:rFonts w:ascii="Verdana" w:hAnsi="Verdana"/>
                <w:b/>
                <w:bCs/>
                <w:sz w:val="24"/>
                <w:szCs w:val="24"/>
              </w:rPr>
              <w:t xml:space="preserve">Teacher: </w:t>
            </w:r>
          </w:p>
        </w:tc>
        <w:tc>
          <w:tcPr>
            <w:tcW w:w="7520" w:type="dxa"/>
            <w:gridSpan w:val="3"/>
            <w:shd w:val="clear" w:color="auto" w:fill="auto"/>
          </w:tcPr>
          <w:p w14:paraId="3A01D5AF" w14:textId="5C62594E" w:rsidR="000C3F64" w:rsidRPr="00B245FA" w:rsidRDefault="00D81D41" w:rsidP="00B245FA">
            <w:pPr>
              <w:rPr>
                <w:rFonts w:ascii="Verdana" w:hAnsi="Verdana"/>
                <w:b/>
                <w:bCs/>
                <w:sz w:val="24"/>
                <w:szCs w:val="24"/>
              </w:rPr>
            </w:pPr>
            <w:r>
              <w:rPr>
                <w:rFonts w:ascii="Verdana" w:hAnsi="Verdana"/>
                <w:b/>
                <w:bCs/>
                <w:sz w:val="24"/>
                <w:szCs w:val="24"/>
              </w:rPr>
              <w:t>Liz Lynch-Smith</w:t>
            </w:r>
          </w:p>
        </w:tc>
      </w:tr>
      <w:tr w:rsidR="000C3F64" w:rsidRPr="00B245FA" w14:paraId="0B0B2711" w14:textId="77777777" w:rsidTr="000C3F64">
        <w:trPr>
          <w:trHeight w:val="500"/>
        </w:trPr>
        <w:tc>
          <w:tcPr>
            <w:tcW w:w="8926" w:type="dxa"/>
            <w:gridSpan w:val="5"/>
            <w:shd w:val="clear" w:color="auto" w:fill="auto"/>
          </w:tcPr>
          <w:p w14:paraId="151CC055" w14:textId="26C42889" w:rsidR="000C3F64" w:rsidRPr="00687AF6" w:rsidRDefault="000C3F64" w:rsidP="00B245FA">
            <w:pPr>
              <w:rPr>
                <w:rFonts w:ascii="Verdana" w:hAnsi="Verdana"/>
                <w:b/>
                <w:bCs/>
                <w:sz w:val="24"/>
                <w:szCs w:val="24"/>
              </w:rPr>
            </w:pPr>
            <w:r w:rsidRPr="00687AF6">
              <w:rPr>
                <w:rFonts w:ascii="Verdana" w:hAnsi="Verdana"/>
                <w:b/>
                <w:bCs/>
                <w:sz w:val="24"/>
                <w:szCs w:val="24"/>
              </w:rPr>
              <w:t>Curriculum:</w:t>
            </w:r>
            <w:r>
              <w:rPr>
                <w:rFonts w:ascii="Verdana" w:hAnsi="Verdana"/>
                <w:b/>
                <w:bCs/>
                <w:sz w:val="24"/>
                <w:szCs w:val="24"/>
              </w:rPr>
              <w:t xml:space="preserve"> S1 Exploring</w:t>
            </w:r>
          </w:p>
        </w:tc>
      </w:tr>
      <w:tr w:rsidR="000C3F64" w:rsidRPr="00B245FA" w14:paraId="351A68E2" w14:textId="77777777" w:rsidTr="000C3F64">
        <w:trPr>
          <w:trHeight w:val="500"/>
        </w:trPr>
        <w:tc>
          <w:tcPr>
            <w:tcW w:w="8926" w:type="dxa"/>
            <w:gridSpan w:val="5"/>
            <w:tcBorders>
              <w:bottom w:val="single" w:sz="4" w:space="0" w:color="auto"/>
            </w:tcBorders>
            <w:shd w:val="clear" w:color="auto" w:fill="auto"/>
          </w:tcPr>
          <w:p w14:paraId="3BAAD7D9" w14:textId="0120DF13" w:rsidR="00D81D41" w:rsidRPr="006E279E" w:rsidRDefault="000C3F64" w:rsidP="00B245FA">
            <w:pPr>
              <w:rPr>
                <w:rFonts w:ascii="Verdana" w:hAnsi="Verdana"/>
                <w:b/>
                <w:bCs/>
              </w:rPr>
            </w:pPr>
            <w:r w:rsidRPr="00687AF6">
              <w:rPr>
                <w:rFonts w:ascii="Verdana" w:hAnsi="Verdana"/>
                <w:b/>
                <w:bCs/>
                <w:sz w:val="24"/>
                <w:szCs w:val="24"/>
              </w:rPr>
              <w:t xml:space="preserve">Term </w:t>
            </w:r>
            <w:r>
              <w:rPr>
                <w:rFonts w:ascii="Verdana" w:hAnsi="Verdana"/>
                <w:b/>
                <w:bCs/>
                <w:sz w:val="24"/>
                <w:szCs w:val="24"/>
              </w:rPr>
              <w:t>f</w:t>
            </w:r>
            <w:r w:rsidRPr="00687AF6">
              <w:rPr>
                <w:rFonts w:ascii="Verdana" w:hAnsi="Verdana"/>
                <w:b/>
                <w:bCs/>
                <w:sz w:val="24"/>
                <w:szCs w:val="24"/>
              </w:rPr>
              <w:t xml:space="preserve">ocus: </w:t>
            </w:r>
            <w:r>
              <w:rPr>
                <w:rFonts w:ascii="Verdana" w:hAnsi="Verdana"/>
                <w:b/>
                <w:bCs/>
                <w:sz w:val="24"/>
                <w:szCs w:val="24"/>
              </w:rPr>
              <w:t>Transitions and choices/Relationship Values/Emotional Wellbeing</w:t>
            </w:r>
          </w:p>
          <w:p w14:paraId="45E674C4" w14:textId="0F5DA6F1" w:rsidR="00D81D41" w:rsidRPr="00D81D41" w:rsidRDefault="00D81D41" w:rsidP="00B245FA">
            <w:pPr>
              <w:rPr>
                <w:rFonts w:ascii="Verdana" w:hAnsi="Verdana"/>
                <w:sz w:val="24"/>
                <w:szCs w:val="24"/>
              </w:rPr>
            </w:pPr>
            <w:r w:rsidRPr="006E279E">
              <w:rPr>
                <w:rFonts w:ascii="Verdana" w:hAnsi="Verdana"/>
              </w:rPr>
              <w:t>We start our term with a wellbeing focus, to help the students settle back into a new year and explore different strategies for promoting their own positive mental health. This includes celebrating strengths, understanding what negatively affects our mood, building resilience to setbacks and creating personalised coping strategies. The next short series of lessons are a</w:t>
            </w:r>
            <w:r w:rsidR="006E279E" w:rsidRPr="006E279E">
              <w:rPr>
                <w:rFonts w:ascii="Verdana" w:hAnsi="Verdana"/>
              </w:rPr>
              <w:t>r</w:t>
            </w:r>
            <w:r w:rsidRPr="006E279E">
              <w:rPr>
                <w:rFonts w:ascii="Verdana" w:hAnsi="Verdana"/>
              </w:rPr>
              <w:t>oun</w:t>
            </w:r>
            <w:r w:rsidR="006E279E" w:rsidRPr="006E279E">
              <w:rPr>
                <w:rFonts w:ascii="Verdana" w:hAnsi="Verdana"/>
              </w:rPr>
              <w:t xml:space="preserve">d values and how these connect to different types of relationships, including respect, kindness and trust. We will evaluate expectations within romantic relationships and a person’s right to make their own choices around sex and intimacy. </w:t>
            </w:r>
            <w:proofErr w:type="gramStart"/>
            <w:r w:rsidR="006E279E" w:rsidRPr="006E279E">
              <w:rPr>
                <w:rFonts w:ascii="Verdana" w:hAnsi="Verdana"/>
              </w:rPr>
              <w:t>Finally</w:t>
            </w:r>
            <w:proofErr w:type="gramEnd"/>
            <w:r w:rsidR="006E279E" w:rsidRPr="006E279E">
              <w:rPr>
                <w:rFonts w:ascii="Verdana" w:hAnsi="Verdana"/>
              </w:rPr>
              <w:t xml:space="preserve"> we will identify different routes into work and study and the importance of setting ambitious goals.</w:t>
            </w:r>
          </w:p>
        </w:tc>
      </w:tr>
      <w:tr w:rsidR="000C3F64" w:rsidRPr="00687AF6" w14:paraId="358C24DA" w14:textId="77777777" w:rsidTr="000C3F64">
        <w:trPr>
          <w:trHeight w:val="537"/>
        </w:trPr>
        <w:tc>
          <w:tcPr>
            <w:tcW w:w="1001" w:type="dxa"/>
            <w:tcBorders>
              <w:top w:val="single" w:sz="4" w:space="0" w:color="auto"/>
              <w:bottom w:val="single" w:sz="4" w:space="0" w:color="auto"/>
            </w:tcBorders>
            <w:shd w:val="clear" w:color="auto" w:fill="auto"/>
          </w:tcPr>
          <w:p w14:paraId="51366C3C" w14:textId="77777777" w:rsidR="000C3F64" w:rsidRPr="00687AF6" w:rsidRDefault="000C3F64" w:rsidP="000C3F64">
            <w:pPr>
              <w:rPr>
                <w:rFonts w:cstheme="minorHAnsi"/>
                <w:sz w:val="24"/>
                <w:szCs w:val="24"/>
              </w:rPr>
            </w:pPr>
            <w:r w:rsidRPr="00687AF6">
              <w:rPr>
                <w:rFonts w:cstheme="minorHAnsi"/>
                <w:sz w:val="24"/>
                <w:szCs w:val="24"/>
              </w:rPr>
              <w:t>1</w:t>
            </w:r>
          </w:p>
        </w:tc>
        <w:tc>
          <w:tcPr>
            <w:tcW w:w="7925" w:type="dxa"/>
            <w:gridSpan w:val="4"/>
            <w:tcBorders>
              <w:top w:val="single" w:sz="4" w:space="0" w:color="auto"/>
              <w:left w:val="nil"/>
              <w:bottom w:val="single" w:sz="4" w:space="0" w:color="auto"/>
              <w:right w:val="single" w:sz="4" w:space="0" w:color="auto"/>
            </w:tcBorders>
            <w:shd w:val="clear" w:color="auto" w:fill="auto"/>
          </w:tcPr>
          <w:p w14:paraId="2FE3143D" w14:textId="442D45F4" w:rsidR="000C3F64" w:rsidRPr="00687AF6" w:rsidRDefault="000C3F64" w:rsidP="000C3F64">
            <w:pPr>
              <w:rPr>
                <w:rFonts w:cstheme="minorHAnsi"/>
                <w:sz w:val="24"/>
                <w:szCs w:val="24"/>
              </w:rPr>
            </w:pPr>
            <w:r>
              <w:rPr>
                <w:rFonts w:ascii="Calibri" w:hAnsi="Calibri" w:cs="Calibri"/>
                <w:color w:val="000000"/>
              </w:rPr>
              <w:t xml:space="preserve">how we are all unique; that recognising and demonstrating personal strengths build </w:t>
            </w:r>
            <w:proofErr w:type="spellStart"/>
            <w:r>
              <w:rPr>
                <w:rFonts w:ascii="Calibri" w:hAnsi="Calibri" w:cs="Calibri"/>
                <w:color w:val="000000"/>
              </w:rPr>
              <w:t>self confidence</w:t>
            </w:r>
            <w:proofErr w:type="spellEnd"/>
            <w:r>
              <w:rPr>
                <w:rFonts w:ascii="Calibri" w:hAnsi="Calibri" w:cs="Calibri"/>
                <w:color w:val="000000"/>
              </w:rPr>
              <w:t xml:space="preserve">, </w:t>
            </w:r>
            <w:proofErr w:type="spellStart"/>
            <w:r>
              <w:rPr>
                <w:rFonts w:ascii="Calibri" w:hAnsi="Calibri" w:cs="Calibri"/>
                <w:color w:val="000000"/>
              </w:rPr>
              <w:t>self esteem</w:t>
            </w:r>
            <w:proofErr w:type="spellEnd"/>
            <w:r>
              <w:rPr>
                <w:rFonts w:ascii="Calibri" w:hAnsi="Calibri" w:cs="Calibri"/>
                <w:color w:val="000000"/>
              </w:rPr>
              <w:t xml:space="preserve"> and good health and wellbeing</w:t>
            </w:r>
          </w:p>
        </w:tc>
      </w:tr>
      <w:tr w:rsidR="000C3F64" w:rsidRPr="00687AF6" w14:paraId="73FCEE28" w14:textId="77777777" w:rsidTr="000C3F64">
        <w:trPr>
          <w:trHeight w:val="537"/>
        </w:trPr>
        <w:tc>
          <w:tcPr>
            <w:tcW w:w="1001" w:type="dxa"/>
            <w:tcBorders>
              <w:top w:val="single" w:sz="4" w:space="0" w:color="auto"/>
              <w:bottom w:val="single" w:sz="4" w:space="0" w:color="auto"/>
            </w:tcBorders>
            <w:shd w:val="clear" w:color="auto" w:fill="auto"/>
          </w:tcPr>
          <w:p w14:paraId="5C6E9DFA" w14:textId="77777777" w:rsidR="000C3F64" w:rsidRPr="00687AF6" w:rsidRDefault="000C3F64" w:rsidP="000C3F64">
            <w:pPr>
              <w:rPr>
                <w:rFonts w:cstheme="minorHAnsi"/>
                <w:sz w:val="24"/>
                <w:szCs w:val="24"/>
              </w:rPr>
            </w:pPr>
            <w:r w:rsidRPr="00687AF6">
              <w:rPr>
                <w:rFonts w:cstheme="minorHAnsi"/>
                <w:sz w:val="24"/>
                <w:szCs w:val="24"/>
              </w:rPr>
              <w:t>2</w:t>
            </w:r>
          </w:p>
          <w:p w14:paraId="1AAF7769" w14:textId="77777777" w:rsidR="000C3F64" w:rsidRPr="00687AF6" w:rsidRDefault="000C3F64" w:rsidP="000C3F64">
            <w:pPr>
              <w:rPr>
                <w:rFonts w:cstheme="minorHAnsi"/>
                <w:sz w:val="24"/>
                <w:szCs w:val="24"/>
              </w:rPr>
            </w:pPr>
          </w:p>
        </w:tc>
        <w:tc>
          <w:tcPr>
            <w:tcW w:w="7925" w:type="dxa"/>
            <w:gridSpan w:val="4"/>
            <w:tcBorders>
              <w:top w:val="single" w:sz="4" w:space="0" w:color="auto"/>
              <w:left w:val="nil"/>
              <w:bottom w:val="single" w:sz="4" w:space="0" w:color="auto"/>
              <w:right w:val="single" w:sz="4" w:space="0" w:color="auto"/>
            </w:tcBorders>
            <w:shd w:val="clear" w:color="auto" w:fill="auto"/>
          </w:tcPr>
          <w:p w14:paraId="5884A6B9" w14:textId="17E17E41" w:rsidR="000C3F64" w:rsidRPr="00687AF6" w:rsidRDefault="000C3F64" w:rsidP="000C3F64">
            <w:pPr>
              <w:rPr>
                <w:rFonts w:cstheme="minorHAnsi"/>
                <w:sz w:val="24"/>
                <w:szCs w:val="24"/>
              </w:rPr>
            </w:pPr>
            <w:r>
              <w:rPr>
                <w:rFonts w:ascii="Calibri" w:hAnsi="Calibri" w:cs="Calibri"/>
                <w:color w:val="000000"/>
              </w:rPr>
              <w:t>to understand what can affect wellbeing and resilience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life changes, relationships, achievements and employment)</w:t>
            </w:r>
          </w:p>
        </w:tc>
      </w:tr>
      <w:tr w:rsidR="000C3F64" w:rsidRPr="00687AF6" w14:paraId="4E0D80F6" w14:textId="77777777" w:rsidTr="000C3F64">
        <w:trPr>
          <w:trHeight w:val="537"/>
        </w:trPr>
        <w:tc>
          <w:tcPr>
            <w:tcW w:w="1001" w:type="dxa"/>
            <w:tcBorders>
              <w:top w:val="single" w:sz="4" w:space="0" w:color="auto"/>
              <w:bottom w:val="single" w:sz="4" w:space="0" w:color="auto"/>
            </w:tcBorders>
            <w:shd w:val="clear" w:color="auto" w:fill="auto"/>
          </w:tcPr>
          <w:p w14:paraId="49496466" w14:textId="77777777" w:rsidR="000C3F64" w:rsidRPr="00687AF6" w:rsidRDefault="000C3F64" w:rsidP="000C3F64">
            <w:pPr>
              <w:rPr>
                <w:rFonts w:cstheme="minorHAnsi"/>
                <w:sz w:val="24"/>
                <w:szCs w:val="24"/>
              </w:rPr>
            </w:pPr>
            <w:r w:rsidRPr="00687AF6">
              <w:rPr>
                <w:rFonts w:cstheme="minorHAnsi"/>
                <w:sz w:val="24"/>
                <w:szCs w:val="24"/>
              </w:rPr>
              <w:t>3</w:t>
            </w:r>
          </w:p>
          <w:p w14:paraId="1F9D7E3D" w14:textId="77777777" w:rsidR="000C3F64" w:rsidRPr="00687AF6" w:rsidRDefault="000C3F64" w:rsidP="000C3F64">
            <w:pPr>
              <w:rPr>
                <w:rFonts w:cstheme="minorHAnsi"/>
                <w:sz w:val="24"/>
                <w:szCs w:val="24"/>
              </w:rPr>
            </w:pPr>
          </w:p>
        </w:tc>
        <w:tc>
          <w:tcPr>
            <w:tcW w:w="7925" w:type="dxa"/>
            <w:gridSpan w:val="4"/>
            <w:tcBorders>
              <w:top w:val="single" w:sz="4" w:space="0" w:color="auto"/>
              <w:left w:val="nil"/>
              <w:bottom w:val="single" w:sz="4" w:space="0" w:color="auto"/>
              <w:right w:val="single" w:sz="4" w:space="0" w:color="auto"/>
            </w:tcBorders>
            <w:shd w:val="clear" w:color="auto" w:fill="auto"/>
          </w:tcPr>
          <w:p w14:paraId="7800B430" w14:textId="40B54A92" w:rsidR="000C3F64" w:rsidRPr="00687AF6" w:rsidRDefault="000C3F64" w:rsidP="000C3F64">
            <w:pPr>
              <w:rPr>
                <w:rFonts w:cstheme="minorHAnsi"/>
                <w:sz w:val="24"/>
                <w:szCs w:val="24"/>
              </w:rPr>
            </w:pPr>
            <w:r>
              <w:rPr>
                <w:rFonts w:ascii="Calibri" w:hAnsi="Calibri" w:cs="Calibri"/>
                <w:color w:val="000000"/>
              </w:rPr>
              <w:t>simple strategies to help build resilience to negative opinions, judgements and comments</w:t>
            </w:r>
          </w:p>
        </w:tc>
      </w:tr>
      <w:tr w:rsidR="000C3F64" w:rsidRPr="00687AF6" w14:paraId="5F8539E1" w14:textId="77777777" w:rsidTr="000C3F64">
        <w:trPr>
          <w:trHeight w:val="537"/>
        </w:trPr>
        <w:tc>
          <w:tcPr>
            <w:tcW w:w="1001" w:type="dxa"/>
            <w:tcBorders>
              <w:top w:val="single" w:sz="4" w:space="0" w:color="auto"/>
              <w:bottom w:val="single" w:sz="4" w:space="0" w:color="auto"/>
            </w:tcBorders>
            <w:shd w:val="clear" w:color="auto" w:fill="auto"/>
          </w:tcPr>
          <w:p w14:paraId="77192A04" w14:textId="77777777" w:rsidR="000C3F64" w:rsidRPr="00687AF6" w:rsidRDefault="000C3F64" w:rsidP="000C3F64">
            <w:pPr>
              <w:rPr>
                <w:rFonts w:cstheme="minorHAnsi"/>
                <w:sz w:val="24"/>
                <w:szCs w:val="24"/>
              </w:rPr>
            </w:pPr>
            <w:r w:rsidRPr="00687AF6">
              <w:rPr>
                <w:rFonts w:cstheme="minorHAnsi"/>
                <w:sz w:val="24"/>
                <w:szCs w:val="24"/>
              </w:rPr>
              <w:t>4</w:t>
            </w:r>
          </w:p>
        </w:tc>
        <w:tc>
          <w:tcPr>
            <w:tcW w:w="7925" w:type="dxa"/>
            <w:gridSpan w:val="4"/>
            <w:tcBorders>
              <w:top w:val="single" w:sz="4" w:space="0" w:color="auto"/>
              <w:left w:val="nil"/>
              <w:bottom w:val="single" w:sz="4" w:space="0" w:color="auto"/>
              <w:right w:val="single" w:sz="4" w:space="0" w:color="auto"/>
            </w:tcBorders>
            <w:shd w:val="clear" w:color="auto" w:fill="auto"/>
          </w:tcPr>
          <w:p w14:paraId="1B6DD4B1" w14:textId="05FA9D68" w:rsidR="000C3F64" w:rsidRPr="00687AF6" w:rsidRDefault="000C3F64" w:rsidP="000C3F64">
            <w:pPr>
              <w:rPr>
                <w:rFonts w:cstheme="minorHAnsi"/>
                <w:sz w:val="24"/>
                <w:szCs w:val="24"/>
              </w:rPr>
            </w:pPr>
            <w:r>
              <w:rPr>
                <w:rFonts w:ascii="Calibri" w:hAnsi="Calibri" w:cs="Calibri"/>
                <w:color w:val="000000"/>
              </w:rPr>
              <w:t>to recognise and manage internal and external influences on decisions which affect health and wellbeing</w:t>
            </w:r>
          </w:p>
        </w:tc>
      </w:tr>
      <w:tr w:rsidR="000C3F64" w:rsidRPr="00687AF6" w14:paraId="5F8F9DF1" w14:textId="77777777" w:rsidTr="000C3F64">
        <w:trPr>
          <w:trHeight w:val="537"/>
        </w:trPr>
        <w:tc>
          <w:tcPr>
            <w:tcW w:w="1001" w:type="dxa"/>
            <w:tcBorders>
              <w:top w:val="single" w:sz="4" w:space="0" w:color="auto"/>
              <w:bottom w:val="single" w:sz="4" w:space="0" w:color="auto"/>
            </w:tcBorders>
            <w:shd w:val="clear" w:color="auto" w:fill="auto"/>
          </w:tcPr>
          <w:p w14:paraId="150A53B1" w14:textId="77777777" w:rsidR="000C3F64" w:rsidRPr="00687AF6" w:rsidRDefault="000C3F64" w:rsidP="000C3F64">
            <w:pPr>
              <w:rPr>
                <w:rFonts w:cstheme="minorHAnsi"/>
                <w:sz w:val="24"/>
                <w:szCs w:val="24"/>
              </w:rPr>
            </w:pPr>
            <w:r w:rsidRPr="00687AF6">
              <w:rPr>
                <w:rFonts w:cstheme="minorHAnsi"/>
                <w:sz w:val="24"/>
                <w:szCs w:val="24"/>
              </w:rPr>
              <w:t>5</w:t>
            </w:r>
          </w:p>
        </w:tc>
        <w:tc>
          <w:tcPr>
            <w:tcW w:w="7925" w:type="dxa"/>
            <w:gridSpan w:val="4"/>
            <w:tcBorders>
              <w:top w:val="single" w:sz="4" w:space="0" w:color="auto"/>
              <w:left w:val="nil"/>
              <w:bottom w:val="single" w:sz="4" w:space="0" w:color="auto"/>
              <w:right w:val="single" w:sz="4" w:space="0" w:color="auto"/>
            </w:tcBorders>
            <w:shd w:val="clear" w:color="auto" w:fill="auto"/>
          </w:tcPr>
          <w:p w14:paraId="483976CE" w14:textId="3C77F52C" w:rsidR="000C3F64" w:rsidRPr="00687AF6" w:rsidRDefault="006E279E" w:rsidP="000C3F64">
            <w:pPr>
              <w:rPr>
                <w:rFonts w:cstheme="minorHAnsi"/>
                <w:sz w:val="24"/>
                <w:szCs w:val="24"/>
              </w:rPr>
            </w:pPr>
            <w:r>
              <w:rPr>
                <w:rFonts w:ascii="Calibri" w:hAnsi="Calibri" w:cs="Calibri"/>
                <w:color w:val="000000"/>
              </w:rPr>
              <w:t>the link between language and mental health stigma, and develop strategies to challenge stigma and misconceptions associated with help seeking and mental health concerns</w:t>
            </w:r>
          </w:p>
        </w:tc>
      </w:tr>
      <w:tr w:rsidR="000C3F64" w:rsidRPr="00687AF6" w14:paraId="6E33B8A5" w14:textId="77777777" w:rsidTr="000C3F64">
        <w:trPr>
          <w:trHeight w:val="537"/>
        </w:trPr>
        <w:tc>
          <w:tcPr>
            <w:tcW w:w="1001" w:type="dxa"/>
            <w:tcBorders>
              <w:top w:val="single" w:sz="4" w:space="0" w:color="auto"/>
              <w:bottom w:val="single" w:sz="4" w:space="0" w:color="auto"/>
            </w:tcBorders>
            <w:shd w:val="clear" w:color="auto" w:fill="auto"/>
          </w:tcPr>
          <w:p w14:paraId="23AB0FFA" w14:textId="77777777" w:rsidR="000C3F64" w:rsidRPr="00687AF6" w:rsidRDefault="000C3F64" w:rsidP="000C3F64">
            <w:pPr>
              <w:rPr>
                <w:rFonts w:cstheme="minorHAnsi"/>
                <w:sz w:val="24"/>
                <w:szCs w:val="24"/>
              </w:rPr>
            </w:pPr>
            <w:r w:rsidRPr="00687AF6">
              <w:rPr>
                <w:rFonts w:cstheme="minorHAnsi"/>
                <w:sz w:val="24"/>
                <w:szCs w:val="24"/>
              </w:rPr>
              <w:t>6</w:t>
            </w:r>
          </w:p>
        </w:tc>
        <w:tc>
          <w:tcPr>
            <w:tcW w:w="7925" w:type="dxa"/>
            <w:gridSpan w:val="4"/>
            <w:tcBorders>
              <w:top w:val="single" w:sz="4" w:space="0" w:color="auto"/>
              <w:left w:val="nil"/>
              <w:bottom w:val="single" w:sz="4" w:space="0" w:color="auto"/>
              <w:right w:val="single" w:sz="4" w:space="0" w:color="auto"/>
            </w:tcBorders>
            <w:shd w:val="clear" w:color="auto" w:fill="auto"/>
          </w:tcPr>
          <w:p w14:paraId="7490B319" w14:textId="75FFA1D9" w:rsidR="000C3F64" w:rsidRPr="00687AF6" w:rsidRDefault="006E279E" w:rsidP="000C3F64">
            <w:pPr>
              <w:rPr>
                <w:rFonts w:cstheme="minorHAnsi"/>
                <w:sz w:val="24"/>
                <w:szCs w:val="24"/>
              </w:rPr>
            </w:pPr>
            <w:r>
              <w:rPr>
                <w:rFonts w:ascii="Calibri" w:hAnsi="Calibri" w:cs="Calibri"/>
                <w:color w:val="000000"/>
              </w:rPr>
              <w:t>strategies to understand and build resilience, as well as how to respond to disappointments and setbacks</w:t>
            </w:r>
          </w:p>
        </w:tc>
      </w:tr>
      <w:tr w:rsidR="000C3F64" w:rsidRPr="00687AF6" w14:paraId="604C67E2" w14:textId="77777777" w:rsidTr="000C3F64">
        <w:trPr>
          <w:trHeight w:val="537"/>
        </w:trPr>
        <w:tc>
          <w:tcPr>
            <w:tcW w:w="1001" w:type="dxa"/>
            <w:tcBorders>
              <w:top w:val="single" w:sz="4" w:space="0" w:color="auto"/>
              <w:bottom w:val="single" w:sz="4" w:space="0" w:color="auto"/>
            </w:tcBorders>
            <w:shd w:val="clear" w:color="auto" w:fill="auto"/>
          </w:tcPr>
          <w:p w14:paraId="513F87CE" w14:textId="77777777" w:rsidR="000C3F64" w:rsidRPr="00687AF6" w:rsidRDefault="000C3F64" w:rsidP="000C3F64">
            <w:pPr>
              <w:rPr>
                <w:rFonts w:cstheme="minorHAnsi"/>
                <w:sz w:val="24"/>
                <w:szCs w:val="24"/>
              </w:rPr>
            </w:pPr>
            <w:r w:rsidRPr="00687AF6">
              <w:rPr>
                <w:rFonts w:cstheme="minorHAnsi"/>
                <w:sz w:val="24"/>
                <w:szCs w:val="24"/>
              </w:rPr>
              <w:t>7</w:t>
            </w:r>
          </w:p>
        </w:tc>
        <w:tc>
          <w:tcPr>
            <w:tcW w:w="7925" w:type="dxa"/>
            <w:gridSpan w:val="4"/>
            <w:tcBorders>
              <w:top w:val="single" w:sz="4" w:space="0" w:color="auto"/>
              <w:left w:val="single" w:sz="4" w:space="0" w:color="auto"/>
              <w:bottom w:val="single" w:sz="4" w:space="0" w:color="auto"/>
              <w:right w:val="single" w:sz="4" w:space="0" w:color="auto"/>
            </w:tcBorders>
            <w:shd w:val="clear" w:color="auto" w:fill="auto"/>
          </w:tcPr>
          <w:p w14:paraId="0D49B90A" w14:textId="77ACAAD8" w:rsidR="000C3F64" w:rsidRPr="006E279E" w:rsidRDefault="006E279E" w:rsidP="006E279E">
            <w:pPr>
              <w:rPr>
                <w:rFonts w:ascii="Calibri" w:hAnsi="Calibri" w:cs="Calibri"/>
                <w:color w:val="000000"/>
              </w:rPr>
            </w:pPr>
            <w:r>
              <w:rPr>
                <w:rFonts w:ascii="Calibri" w:hAnsi="Calibri" w:cs="Calibri"/>
                <w:color w:val="000000"/>
              </w:rPr>
              <w:t>a range of healthy coping strategies and ways to promote wellbeing and boost mood, including physical activity, participation and the value of positive relationships in providing support</w:t>
            </w:r>
          </w:p>
        </w:tc>
      </w:tr>
      <w:tr w:rsidR="000C3F64" w:rsidRPr="00687AF6" w14:paraId="23CC12AA" w14:textId="0EABE39A" w:rsidTr="000C3F64">
        <w:trPr>
          <w:trHeight w:val="537"/>
        </w:trPr>
        <w:tc>
          <w:tcPr>
            <w:tcW w:w="1001" w:type="dxa"/>
            <w:tcBorders>
              <w:top w:val="single" w:sz="4" w:space="0" w:color="auto"/>
              <w:bottom w:val="single" w:sz="4" w:space="0" w:color="auto"/>
            </w:tcBorders>
            <w:shd w:val="clear" w:color="auto" w:fill="auto"/>
          </w:tcPr>
          <w:p w14:paraId="1A3BCB32" w14:textId="01978824" w:rsidR="000C3F64" w:rsidRPr="00687AF6" w:rsidRDefault="000C3F64" w:rsidP="000C3F64">
            <w:pPr>
              <w:rPr>
                <w:rFonts w:cstheme="minorHAnsi"/>
                <w:sz w:val="24"/>
                <w:szCs w:val="24"/>
              </w:rPr>
            </w:pPr>
            <w:r>
              <w:rPr>
                <w:rFonts w:cstheme="minorHAnsi"/>
                <w:sz w:val="24"/>
                <w:szCs w:val="24"/>
              </w:rPr>
              <w:t>8</w:t>
            </w:r>
          </w:p>
        </w:tc>
        <w:tc>
          <w:tcPr>
            <w:tcW w:w="7925" w:type="dxa"/>
            <w:gridSpan w:val="4"/>
            <w:tcBorders>
              <w:top w:val="single" w:sz="4" w:space="0" w:color="auto"/>
              <w:left w:val="nil"/>
              <w:bottom w:val="single" w:sz="4" w:space="0" w:color="auto"/>
              <w:right w:val="single" w:sz="4" w:space="0" w:color="auto"/>
            </w:tcBorders>
            <w:shd w:val="clear" w:color="auto" w:fill="auto"/>
          </w:tcPr>
          <w:p w14:paraId="02EEF224" w14:textId="0D4CBCC4" w:rsidR="000C3F64" w:rsidRPr="00687AF6" w:rsidRDefault="000C3F64" w:rsidP="000C3F64">
            <w:pPr>
              <w:rPr>
                <w:rFonts w:cstheme="minorHAnsi"/>
                <w:sz w:val="24"/>
                <w:szCs w:val="24"/>
              </w:rPr>
            </w:pPr>
            <w:r>
              <w:rPr>
                <w:rFonts w:ascii="Calibri" w:hAnsi="Calibri" w:cs="Calibri"/>
                <w:color w:val="000000"/>
              </w:rPr>
              <w:t>to clarify and develop personal values in friendships, love and sexual relationships</w:t>
            </w:r>
          </w:p>
        </w:tc>
      </w:tr>
      <w:tr w:rsidR="000C3F64" w:rsidRPr="00687AF6" w14:paraId="374088BC" w14:textId="53F26439" w:rsidTr="000C3F64">
        <w:trPr>
          <w:trHeight w:val="537"/>
        </w:trPr>
        <w:tc>
          <w:tcPr>
            <w:tcW w:w="1001" w:type="dxa"/>
            <w:tcBorders>
              <w:top w:val="single" w:sz="4" w:space="0" w:color="auto"/>
              <w:bottom w:val="single" w:sz="4" w:space="0" w:color="auto"/>
            </w:tcBorders>
            <w:shd w:val="clear" w:color="auto" w:fill="auto"/>
          </w:tcPr>
          <w:p w14:paraId="17D81820" w14:textId="4485215E" w:rsidR="000C3F64" w:rsidRPr="00687AF6" w:rsidRDefault="000C3F64" w:rsidP="000C3F64">
            <w:pPr>
              <w:rPr>
                <w:rFonts w:cstheme="minorHAnsi"/>
                <w:sz w:val="24"/>
                <w:szCs w:val="24"/>
              </w:rPr>
            </w:pPr>
            <w:r>
              <w:rPr>
                <w:rFonts w:cstheme="minorHAnsi"/>
                <w:sz w:val="24"/>
                <w:szCs w:val="24"/>
              </w:rPr>
              <w:t>9</w:t>
            </w:r>
          </w:p>
        </w:tc>
        <w:tc>
          <w:tcPr>
            <w:tcW w:w="7925" w:type="dxa"/>
            <w:gridSpan w:val="4"/>
            <w:tcBorders>
              <w:top w:val="single" w:sz="4" w:space="0" w:color="auto"/>
              <w:left w:val="nil"/>
              <w:bottom w:val="single" w:sz="4" w:space="0" w:color="auto"/>
              <w:right w:val="single" w:sz="4" w:space="0" w:color="auto"/>
            </w:tcBorders>
            <w:shd w:val="clear" w:color="auto" w:fill="auto"/>
          </w:tcPr>
          <w:p w14:paraId="58224F14" w14:textId="1933F567" w:rsidR="000C3F64" w:rsidRPr="00687AF6" w:rsidRDefault="000C3F64" w:rsidP="000C3F64">
            <w:pPr>
              <w:rPr>
                <w:rFonts w:cstheme="minorHAnsi"/>
                <w:sz w:val="24"/>
                <w:szCs w:val="24"/>
              </w:rPr>
            </w:pPr>
            <w:r>
              <w:rPr>
                <w:rFonts w:ascii="Calibri" w:hAnsi="Calibri" w:cs="Calibri"/>
                <w:color w:val="000000"/>
              </w:rPr>
              <w:t>the importance of trust in relationships and the behaviours that can undermine or build trust</w:t>
            </w:r>
          </w:p>
        </w:tc>
      </w:tr>
      <w:tr w:rsidR="000C3F64" w:rsidRPr="00687AF6" w14:paraId="76BC0C43" w14:textId="795A3400" w:rsidTr="000C3F64">
        <w:trPr>
          <w:trHeight w:val="537"/>
        </w:trPr>
        <w:tc>
          <w:tcPr>
            <w:tcW w:w="1001" w:type="dxa"/>
            <w:tcBorders>
              <w:top w:val="single" w:sz="4" w:space="0" w:color="auto"/>
              <w:bottom w:val="single" w:sz="4" w:space="0" w:color="auto"/>
            </w:tcBorders>
            <w:shd w:val="clear" w:color="auto" w:fill="auto"/>
          </w:tcPr>
          <w:p w14:paraId="66F4D774" w14:textId="71C70D5C" w:rsidR="000C3F64" w:rsidRPr="00687AF6" w:rsidRDefault="000C3F64" w:rsidP="000C3F64">
            <w:pPr>
              <w:rPr>
                <w:rFonts w:cstheme="minorHAnsi"/>
                <w:sz w:val="24"/>
                <w:szCs w:val="24"/>
              </w:rPr>
            </w:pPr>
            <w:r>
              <w:rPr>
                <w:rFonts w:cstheme="minorHAnsi"/>
                <w:sz w:val="24"/>
                <w:szCs w:val="24"/>
              </w:rPr>
              <w:t>10</w:t>
            </w:r>
          </w:p>
        </w:tc>
        <w:tc>
          <w:tcPr>
            <w:tcW w:w="7925" w:type="dxa"/>
            <w:gridSpan w:val="4"/>
            <w:tcBorders>
              <w:top w:val="single" w:sz="4" w:space="0" w:color="auto"/>
              <w:left w:val="nil"/>
              <w:bottom w:val="single" w:sz="4" w:space="0" w:color="auto"/>
              <w:right w:val="single" w:sz="4" w:space="0" w:color="auto"/>
            </w:tcBorders>
            <w:shd w:val="clear" w:color="auto" w:fill="auto"/>
          </w:tcPr>
          <w:p w14:paraId="59FA69DC" w14:textId="0818BB3F" w:rsidR="000C3F64" w:rsidRPr="00687AF6" w:rsidRDefault="000C3F64" w:rsidP="000C3F64">
            <w:pPr>
              <w:rPr>
                <w:rFonts w:cstheme="minorHAnsi"/>
                <w:sz w:val="24"/>
                <w:szCs w:val="24"/>
              </w:rPr>
            </w:pPr>
            <w:r>
              <w:rPr>
                <w:rFonts w:ascii="Calibri" w:hAnsi="Calibri" w:cs="Calibri"/>
                <w:color w:val="000000"/>
              </w:rPr>
              <w:t>to evaluate expectations about gender roles, behaviour and intimacy within romantic relationships</w:t>
            </w:r>
          </w:p>
        </w:tc>
      </w:tr>
      <w:tr w:rsidR="000C3F64" w:rsidRPr="00687AF6" w14:paraId="7067EA0F" w14:textId="37D4128A" w:rsidTr="000C3F64">
        <w:trPr>
          <w:trHeight w:val="537"/>
        </w:trPr>
        <w:tc>
          <w:tcPr>
            <w:tcW w:w="1001" w:type="dxa"/>
            <w:tcBorders>
              <w:top w:val="single" w:sz="4" w:space="0" w:color="auto"/>
              <w:bottom w:val="single" w:sz="4" w:space="0" w:color="auto"/>
            </w:tcBorders>
            <w:shd w:val="clear" w:color="auto" w:fill="auto"/>
          </w:tcPr>
          <w:p w14:paraId="7ADCC9B9" w14:textId="66FD4F75" w:rsidR="000C3F64" w:rsidRPr="00687AF6" w:rsidRDefault="000C3F64" w:rsidP="000C3F64">
            <w:pPr>
              <w:rPr>
                <w:rFonts w:cstheme="minorHAnsi"/>
                <w:sz w:val="24"/>
                <w:szCs w:val="24"/>
              </w:rPr>
            </w:pPr>
            <w:r>
              <w:rPr>
                <w:rFonts w:cstheme="minorHAnsi"/>
                <w:sz w:val="24"/>
                <w:szCs w:val="24"/>
              </w:rPr>
              <w:t>11</w:t>
            </w:r>
          </w:p>
        </w:tc>
        <w:tc>
          <w:tcPr>
            <w:tcW w:w="7925" w:type="dxa"/>
            <w:gridSpan w:val="4"/>
            <w:tcBorders>
              <w:top w:val="single" w:sz="4" w:space="0" w:color="auto"/>
              <w:left w:val="nil"/>
              <w:bottom w:val="single" w:sz="4" w:space="0" w:color="auto"/>
              <w:right w:val="single" w:sz="4" w:space="0" w:color="auto"/>
            </w:tcBorders>
            <w:shd w:val="clear" w:color="auto" w:fill="auto"/>
          </w:tcPr>
          <w:p w14:paraId="0333AC5C" w14:textId="43FFDD19" w:rsidR="000C3F64" w:rsidRPr="00687AF6" w:rsidRDefault="000C3F64" w:rsidP="000C3F64">
            <w:pPr>
              <w:rPr>
                <w:rFonts w:cstheme="minorHAnsi"/>
                <w:sz w:val="24"/>
                <w:szCs w:val="24"/>
              </w:rPr>
            </w:pPr>
            <w:r>
              <w:rPr>
                <w:rFonts w:ascii="Calibri" w:hAnsi="Calibri" w:cs="Calibri"/>
                <w:color w:val="000000"/>
              </w:rPr>
              <w:t>that everyone has the choice to delay sex, or to enjoy intimacy without sex</w:t>
            </w:r>
          </w:p>
        </w:tc>
      </w:tr>
      <w:tr w:rsidR="000C3F64" w:rsidRPr="00687AF6" w14:paraId="537308E9" w14:textId="49D1D230" w:rsidTr="000C3F64">
        <w:trPr>
          <w:trHeight w:val="537"/>
        </w:trPr>
        <w:tc>
          <w:tcPr>
            <w:tcW w:w="1001" w:type="dxa"/>
            <w:tcBorders>
              <w:top w:val="single" w:sz="4" w:space="0" w:color="auto"/>
              <w:bottom w:val="single" w:sz="4" w:space="0" w:color="auto"/>
            </w:tcBorders>
            <w:shd w:val="clear" w:color="auto" w:fill="auto"/>
          </w:tcPr>
          <w:p w14:paraId="26AA181D" w14:textId="4DB3EB4A" w:rsidR="000C3F64" w:rsidRPr="00687AF6" w:rsidRDefault="000C3F64" w:rsidP="000C3F64">
            <w:pPr>
              <w:rPr>
                <w:rFonts w:cstheme="minorHAnsi"/>
                <w:sz w:val="24"/>
                <w:szCs w:val="24"/>
              </w:rPr>
            </w:pPr>
            <w:r>
              <w:rPr>
                <w:rFonts w:cstheme="minorHAnsi"/>
                <w:sz w:val="24"/>
                <w:szCs w:val="24"/>
              </w:rPr>
              <w:t>12</w:t>
            </w:r>
          </w:p>
        </w:tc>
        <w:tc>
          <w:tcPr>
            <w:tcW w:w="7925" w:type="dxa"/>
            <w:gridSpan w:val="4"/>
            <w:tcBorders>
              <w:top w:val="single" w:sz="4" w:space="0" w:color="auto"/>
              <w:left w:val="nil"/>
              <w:bottom w:val="single" w:sz="4" w:space="0" w:color="auto"/>
              <w:right w:val="single" w:sz="4" w:space="0" w:color="auto"/>
            </w:tcBorders>
            <w:shd w:val="clear" w:color="auto" w:fill="auto"/>
          </w:tcPr>
          <w:p w14:paraId="666BDFBB" w14:textId="4D5A8AD5" w:rsidR="000C3F64" w:rsidRPr="00687AF6" w:rsidRDefault="006E279E" w:rsidP="000C3F64">
            <w:pPr>
              <w:rPr>
                <w:rFonts w:cstheme="minorHAnsi"/>
                <w:sz w:val="24"/>
                <w:szCs w:val="24"/>
              </w:rPr>
            </w:pPr>
            <w:r>
              <w:rPr>
                <w:rFonts w:ascii="Calibri" w:hAnsi="Calibri" w:cs="Calibri"/>
                <w:color w:val="000000"/>
              </w:rPr>
              <w:t xml:space="preserve">about routes into work, training and other vocational and academic opportunities, and progression routes                   </w:t>
            </w:r>
          </w:p>
        </w:tc>
      </w:tr>
      <w:tr w:rsidR="000C3F64" w:rsidRPr="00687AF6" w14:paraId="0D8A9DBC" w14:textId="77777777" w:rsidTr="000C3F64">
        <w:trPr>
          <w:trHeight w:val="537"/>
        </w:trPr>
        <w:tc>
          <w:tcPr>
            <w:tcW w:w="1001" w:type="dxa"/>
            <w:tcBorders>
              <w:top w:val="single" w:sz="4" w:space="0" w:color="auto"/>
              <w:bottom w:val="single" w:sz="4" w:space="0" w:color="auto"/>
            </w:tcBorders>
            <w:shd w:val="clear" w:color="auto" w:fill="auto"/>
          </w:tcPr>
          <w:p w14:paraId="4637F246" w14:textId="2C4E7D1B" w:rsidR="000C3F64" w:rsidRDefault="000C3F64" w:rsidP="000C3F64">
            <w:pPr>
              <w:rPr>
                <w:rFonts w:cstheme="minorHAnsi"/>
                <w:sz w:val="24"/>
                <w:szCs w:val="24"/>
              </w:rPr>
            </w:pPr>
            <w:r>
              <w:rPr>
                <w:rFonts w:cstheme="minorHAnsi"/>
                <w:sz w:val="24"/>
                <w:szCs w:val="24"/>
              </w:rPr>
              <w:t>13</w:t>
            </w:r>
          </w:p>
        </w:tc>
        <w:tc>
          <w:tcPr>
            <w:tcW w:w="7925" w:type="dxa"/>
            <w:gridSpan w:val="4"/>
            <w:tcBorders>
              <w:top w:val="single" w:sz="4" w:space="0" w:color="auto"/>
              <w:left w:val="nil"/>
              <w:bottom w:val="single" w:sz="4" w:space="0" w:color="auto"/>
              <w:right w:val="single" w:sz="4" w:space="0" w:color="auto"/>
            </w:tcBorders>
            <w:shd w:val="clear" w:color="auto" w:fill="auto"/>
          </w:tcPr>
          <w:p w14:paraId="6B563A00" w14:textId="4F2E056D" w:rsidR="000C3F64" w:rsidRDefault="006E279E" w:rsidP="000C3F64">
            <w:pPr>
              <w:rPr>
                <w:rFonts w:ascii="Calibri" w:hAnsi="Calibri" w:cs="Calibri"/>
                <w:color w:val="000000"/>
              </w:rPr>
            </w:pPr>
            <w:r>
              <w:rPr>
                <w:rFonts w:ascii="Calibri" w:hAnsi="Calibri" w:cs="Calibri"/>
                <w:color w:val="000000"/>
              </w:rPr>
              <w:t xml:space="preserve">the benefits of setting ambitious goals and being open to opportunities in all aspects of life              </w:t>
            </w:r>
          </w:p>
        </w:tc>
      </w:tr>
      <w:tr w:rsidR="000C3F64" w:rsidRPr="00687AF6" w14:paraId="333A1104" w14:textId="77777777" w:rsidTr="000C3F64">
        <w:trPr>
          <w:trHeight w:val="537"/>
        </w:trPr>
        <w:tc>
          <w:tcPr>
            <w:tcW w:w="1001" w:type="dxa"/>
            <w:tcBorders>
              <w:top w:val="single" w:sz="4" w:space="0" w:color="auto"/>
              <w:bottom w:val="single" w:sz="4" w:space="0" w:color="auto"/>
            </w:tcBorders>
            <w:shd w:val="clear" w:color="auto" w:fill="auto"/>
          </w:tcPr>
          <w:p w14:paraId="217B5E2D" w14:textId="6D6A336D" w:rsidR="000C3F64" w:rsidRDefault="000C3F64" w:rsidP="000C3F64">
            <w:pPr>
              <w:rPr>
                <w:rFonts w:cstheme="minorHAnsi"/>
                <w:sz w:val="24"/>
                <w:szCs w:val="24"/>
              </w:rPr>
            </w:pPr>
            <w:r>
              <w:rPr>
                <w:rFonts w:cstheme="minorHAnsi"/>
                <w:sz w:val="24"/>
                <w:szCs w:val="24"/>
              </w:rPr>
              <w:t>14</w:t>
            </w:r>
          </w:p>
        </w:tc>
        <w:tc>
          <w:tcPr>
            <w:tcW w:w="7925" w:type="dxa"/>
            <w:gridSpan w:val="4"/>
            <w:tcBorders>
              <w:top w:val="single" w:sz="4" w:space="0" w:color="auto"/>
              <w:left w:val="nil"/>
              <w:bottom w:val="single" w:sz="4" w:space="0" w:color="auto"/>
              <w:right w:val="single" w:sz="4" w:space="0" w:color="auto"/>
            </w:tcBorders>
            <w:shd w:val="clear" w:color="auto" w:fill="auto"/>
          </w:tcPr>
          <w:p w14:paraId="14D8BB58" w14:textId="27BFCDBA" w:rsidR="006E279E" w:rsidRPr="006E279E" w:rsidRDefault="006E279E" w:rsidP="006E279E">
            <w:pPr>
              <w:tabs>
                <w:tab w:val="left" w:pos="1093"/>
              </w:tabs>
              <w:rPr>
                <w:rFonts w:ascii="Calibri" w:hAnsi="Calibri" w:cs="Calibri"/>
              </w:rPr>
            </w:pPr>
            <w:r>
              <w:rPr>
                <w:rFonts w:ascii="Calibri" w:hAnsi="Calibri" w:cs="Calibri"/>
                <w:color w:val="000000"/>
              </w:rPr>
              <w:t>to recognise and challenge stereotypes and cultural or family expectations that may limit aspirations</w:t>
            </w:r>
            <w:r>
              <w:rPr>
                <w:rFonts w:ascii="Calibri" w:hAnsi="Calibri" w:cs="Calibri"/>
              </w:rPr>
              <w:t xml:space="preserve"> </w:t>
            </w:r>
            <w:r>
              <w:rPr>
                <w:rFonts w:ascii="Calibri" w:hAnsi="Calibri" w:cs="Calibri"/>
              </w:rPr>
              <w:tab/>
            </w:r>
          </w:p>
        </w:tc>
      </w:tr>
    </w:tbl>
    <w:tbl>
      <w:tblPr>
        <w:tblW w:w="7640" w:type="dxa"/>
        <w:tblCellMar>
          <w:left w:w="0" w:type="dxa"/>
          <w:right w:w="0" w:type="dxa"/>
        </w:tblCellMar>
        <w:tblLook w:val="04A0" w:firstRow="1" w:lastRow="0" w:firstColumn="1" w:lastColumn="0" w:noHBand="0" w:noVBand="1"/>
      </w:tblPr>
      <w:tblGrid>
        <w:gridCol w:w="7628"/>
        <w:gridCol w:w="6"/>
        <w:gridCol w:w="6"/>
      </w:tblGrid>
      <w:tr w:rsidR="000C3F64" w14:paraId="629C5064" w14:textId="21C506EA" w:rsidTr="000C3F64">
        <w:trPr>
          <w:trHeight w:val="576"/>
        </w:trPr>
        <w:tc>
          <w:tcPr>
            <w:tcW w:w="7640" w:type="dxa"/>
            <w:tcBorders>
              <w:top w:val="nil"/>
              <w:left w:val="nil"/>
              <w:bottom w:val="nil"/>
              <w:right w:val="nil"/>
            </w:tcBorders>
            <w:shd w:val="clear" w:color="auto" w:fill="auto"/>
            <w:tcMar>
              <w:top w:w="15" w:type="dxa"/>
              <w:left w:w="15" w:type="dxa"/>
              <w:bottom w:w="0" w:type="dxa"/>
              <w:right w:w="15" w:type="dxa"/>
            </w:tcMar>
          </w:tcPr>
          <w:p w14:paraId="6D1E49E0" w14:textId="77777777" w:rsidR="000C3F64" w:rsidRDefault="000C3F64" w:rsidP="000C3F64">
            <w:pPr>
              <w:rPr>
                <w:rFonts w:ascii="Calibri" w:eastAsia="Times New Roman" w:hAnsi="Calibri" w:cs="Calibri"/>
                <w:color w:val="000000"/>
                <w:lang w:eastAsia="en-GB"/>
              </w:rPr>
            </w:pPr>
          </w:p>
        </w:tc>
        <w:tc>
          <w:tcPr>
            <w:tcW w:w="0" w:type="auto"/>
            <w:tcBorders>
              <w:top w:val="nil"/>
              <w:left w:val="nil"/>
              <w:bottom w:val="nil"/>
              <w:right w:val="nil"/>
            </w:tcBorders>
            <w:shd w:val="clear" w:color="000000" w:fill="E2EFDA"/>
          </w:tcPr>
          <w:p w14:paraId="3E050BA3" w14:textId="24772A21" w:rsidR="000C3F64" w:rsidRDefault="000C3F64" w:rsidP="000C3F64">
            <w:pPr>
              <w:rPr>
                <w:rFonts w:ascii="Times New Roman" w:eastAsia="Times New Roman" w:hAnsi="Times New Roman" w:cs="Times New Roman"/>
                <w:sz w:val="20"/>
                <w:szCs w:val="20"/>
                <w:lang w:eastAsia="en-GB"/>
              </w:rPr>
            </w:pPr>
          </w:p>
        </w:tc>
        <w:tc>
          <w:tcPr>
            <w:tcW w:w="0" w:type="auto"/>
            <w:vAlign w:val="center"/>
          </w:tcPr>
          <w:p w14:paraId="1EA6F8C8" w14:textId="77777777" w:rsidR="000C3F64" w:rsidRDefault="000C3F64" w:rsidP="000C3F64">
            <w:pPr>
              <w:rPr>
                <w:rFonts w:ascii="Times New Roman" w:eastAsia="Times New Roman" w:hAnsi="Times New Roman" w:cs="Times New Roman"/>
                <w:sz w:val="20"/>
                <w:szCs w:val="20"/>
                <w:lang w:eastAsia="en-GB"/>
              </w:rPr>
            </w:pPr>
          </w:p>
        </w:tc>
      </w:tr>
      <w:tr w:rsidR="000C3F64" w14:paraId="7C608353" w14:textId="1D9B131F" w:rsidTr="000C3F64">
        <w:trPr>
          <w:trHeight w:val="864"/>
        </w:trPr>
        <w:tc>
          <w:tcPr>
            <w:tcW w:w="7640" w:type="dxa"/>
            <w:tcBorders>
              <w:top w:val="nil"/>
              <w:left w:val="nil"/>
              <w:bottom w:val="nil"/>
              <w:right w:val="nil"/>
            </w:tcBorders>
            <w:shd w:val="clear" w:color="auto" w:fill="auto"/>
            <w:tcMar>
              <w:top w:w="15" w:type="dxa"/>
              <w:left w:w="15" w:type="dxa"/>
              <w:bottom w:w="0" w:type="dxa"/>
              <w:right w:w="15" w:type="dxa"/>
            </w:tcMar>
          </w:tcPr>
          <w:p w14:paraId="2C76D4EE" w14:textId="77777777" w:rsidR="000C3F64" w:rsidRDefault="000C3F64" w:rsidP="000C3F64">
            <w:pPr>
              <w:rPr>
                <w:rFonts w:ascii="Calibri" w:eastAsia="Times New Roman" w:hAnsi="Calibri" w:cs="Calibri"/>
                <w:color w:val="000000"/>
                <w:lang w:eastAsia="en-GB"/>
              </w:rPr>
            </w:pPr>
          </w:p>
        </w:tc>
        <w:tc>
          <w:tcPr>
            <w:tcW w:w="0" w:type="auto"/>
            <w:tcBorders>
              <w:top w:val="nil"/>
              <w:left w:val="nil"/>
              <w:bottom w:val="nil"/>
              <w:right w:val="nil"/>
            </w:tcBorders>
            <w:shd w:val="clear" w:color="000000" w:fill="E2EFDA"/>
          </w:tcPr>
          <w:p w14:paraId="65D375F1" w14:textId="3F8AE381" w:rsidR="000C3F64" w:rsidRDefault="000C3F64" w:rsidP="000C3F64">
            <w:pPr>
              <w:rPr>
                <w:rFonts w:ascii="Times New Roman" w:eastAsia="Times New Roman" w:hAnsi="Times New Roman" w:cs="Times New Roman"/>
                <w:sz w:val="20"/>
                <w:szCs w:val="20"/>
                <w:lang w:eastAsia="en-GB"/>
              </w:rPr>
            </w:pPr>
          </w:p>
        </w:tc>
        <w:tc>
          <w:tcPr>
            <w:tcW w:w="0" w:type="auto"/>
            <w:vAlign w:val="center"/>
          </w:tcPr>
          <w:p w14:paraId="61394B6D" w14:textId="77777777" w:rsidR="000C3F64" w:rsidRDefault="000C3F64" w:rsidP="000C3F64">
            <w:pPr>
              <w:rPr>
                <w:rFonts w:ascii="Times New Roman" w:eastAsia="Times New Roman" w:hAnsi="Times New Roman" w:cs="Times New Roman"/>
                <w:sz w:val="20"/>
                <w:szCs w:val="20"/>
                <w:lang w:eastAsia="en-GB"/>
              </w:rPr>
            </w:pPr>
          </w:p>
        </w:tc>
      </w:tr>
    </w:tbl>
    <w:p w14:paraId="4D50AA4D" w14:textId="5B51EB33" w:rsidR="00C96B26" w:rsidRPr="00687AF6" w:rsidRDefault="00920585" w:rsidP="000C3F64">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40"/>
        <w:gridCol w:w="1252"/>
        <w:gridCol w:w="1332"/>
        <w:gridCol w:w="1766"/>
        <w:gridCol w:w="1754"/>
        <w:gridCol w:w="1472"/>
      </w:tblGrid>
      <w:tr w:rsidR="00A303C3" w:rsidRPr="00687AF6" w14:paraId="56E7C716" w14:textId="77777777" w:rsidTr="00920585">
        <w:tc>
          <w:tcPr>
            <w:tcW w:w="1502" w:type="dxa"/>
          </w:tcPr>
          <w:p w14:paraId="3ED141E8" w14:textId="00A36D5F" w:rsidR="00920585" w:rsidRPr="00687AF6" w:rsidRDefault="00CF0C56">
            <w:pPr>
              <w:rPr>
                <w:rFonts w:cstheme="minorHAnsi"/>
                <w:sz w:val="24"/>
                <w:szCs w:val="24"/>
              </w:rPr>
            </w:pPr>
            <w:r>
              <w:rPr>
                <w:rFonts w:cstheme="minorHAnsi"/>
                <w:sz w:val="24"/>
                <w:szCs w:val="24"/>
              </w:rPr>
              <w:t>Transition</w:t>
            </w:r>
          </w:p>
        </w:tc>
        <w:tc>
          <w:tcPr>
            <w:tcW w:w="1502" w:type="dxa"/>
          </w:tcPr>
          <w:p w14:paraId="7CDA4861" w14:textId="09D7DDE2" w:rsidR="00920585" w:rsidRPr="00687AF6" w:rsidRDefault="00CF0C56">
            <w:pPr>
              <w:rPr>
                <w:rFonts w:cstheme="minorHAnsi"/>
                <w:sz w:val="24"/>
                <w:szCs w:val="24"/>
              </w:rPr>
            </w:pPr>
            <w:r>
              <w:rPr>
                <w:rFonts w:cstheme="minorHAnsi"/>
                <w:sz w:val="24"/>
                <w:szCs w:val="24"/>
              </w:rPr>
              <w:t>Resilience</w:t>
            </w:r>
          </w:p>
        </w:tc>
        <w:tc>
          <w:tcPr>
            <w:tcW w:w="1503" w:type="dxa"/>
          </w:tcPr>
          <w:p w14:paraId="5D17AF0B" w14:textId="2BCE8829" w:rsidR="00920585" w:rsidRPr="00687AF6" w:rsidRDefault="00CF0C56">
            <w:pPr>
              <w:rPr>
                <w:rFonts w:cstheme="minorHAnsi"/>
                <w:sz w:val="24"/>
                <w:szCs w:val="24"/>
              </w:rPr>
            </w:pPr>
            <w:r>
              <w:rPr>
                <w:rFonts w:cstheme="minorHAnsi"/>
                <w:sz w:val="24"/>
                <w:szCs w:val="24"/>
              </w:rPr>
              <w:t>Self confidence</w:t>
            </w:r>
          </w:p>
        </w:tc>
        <w:tc>
          <w:tcPr>
            <w:tcW w:w="1503" w:type="dxa"/>
          </w:tcPr>
          <w:p w14:paraId="70A311EF" w14:textId="376A8FBF" w:rsidR="00920585" w:rsidRPr="00687AF6" w:rsidRDefault="00CF0C56">
            <w:pPr>
              <w:rPr>
                <w:rFonts w:cstheme="minorHAnsi"/>
                <w:sz w:val="24"/>
                <w:szCs w:val="24"/>
              </w:rPr>
            </w:pPr>
            <w:r>
              <w:rPr>
                <w:rFonts w:cstheme="minorHAnsi"/>
                <w:sz w:val="24"/>
                <w:szCs w:val="24"/>
              </w:rPr>
              <w:t>Self esteem</w:t>
            </w:r>
          </w:p>
        </w:tc>
        <w:tc>
          <w:tcPr>
            <w:tcW w:w="1503" w:type="dxa"/>
          </w:tcPr>
          <w:p w14:paraId="3AF3EEF7" w14:textId="7C0D73A2" w:rsidR="00920585" w:rsidRPr="00687AF6" w:rsidRDefault="00CF0C56">
            <w:pPr>
              <w:rPr>
                <w:rFonts w:cstheme="minorHAnsi"/>
                <w:sz w:val="24"/>
                <w:szCs w:val="24"/>
              </w:rPr>
            </w:pPr>
            <w:r>
              <w:rPr>
                <w:rFonts w:cstheme="minorHAnsi"/>
                <w:sz w:val="24"/>
                <w:szCs w:val="24"/>
              </w:rPr>
              <w:t>Values</w:t>
            </w:r>
          </w:p>
        </w:tc>
        <w:tc>
          <w:tcPr>
            <w:tcW w:w="1503" w:type="dxa"/>
          </w:tcPr>
          <w:p w14:paraId="3B235E5C" w14:textId="29E12C16" w:rsidR="00920585" w:rsidRPr="00687AF6" w:rsidRDefault="00CF0C56">
            <w:pPr>
              <w:rPr>
                <w:rFonts w:cstheme="minorHAnsi"/>
                <w:sz w:val="24"/>
                <w:szCs w:val="24"/>
              </w:rPr>
            </w:pPr>
            <w:r>
              <w:rPr>
                <w:rFonts w:cstheme="minorHAnsi"/>
                <w:sz w:val="24"/>
                <w:szCs w:val="24"/>
              </w:rPr>
              <w:t>Skills</w:t>
            </w:r>
          </w:p>
        </w:tc>
      </w:tr>
      <w:tr w:rsidR="00A303C3" w:rsidRPr="00687AF6" w14:paraId="5DC8C621" w14:textId="77777777" w:rsidTr="00920585">
        <w:tc>
          <w:tcPr>
            <w:tcW w:w="1502" w:type="dxa"/>
          </w:tcPr>
          <w:p w14:paraId="14CD84C4" w14:textId="29900269" w:rsidR="00920585" w:rsidRPr="00687AF6" w:rsidRDefault="00CF0C56">
            <w:pPr>
              <w:rPr>
                <w:rFonts w:cstheme="minorHAnsi"/>
                <w:sz w:val="24"/>
                <w:szCs w:val="24"/>
              </w:rPr>
            </w:pPr>
            <w:r>
              <w:rPr>
                <w:rFonts w:cstheme="minorHAnsi"/>
                <w:sz w:val="24"/>
                <w:szCs w:val="24"/>
              </w:rPr>
              <w:t>Relationship</w:t>
            </w:r>
          </w:p>
        </w:tc>
        <w:tc>
          <w:tcPr>
            <w:tcW w:w="1502" w:type="dxa"/>
          </w:tcPr>
          <w:p w14:paraId="2B6B0AA7" w14:textId="7F0B74E2" w:rsidR="00920585" w:rsidRPr="00687AF6" w:rsidRDefault="00CF0C56">
            <w:pPr>
              <w:rPr>
                <w:rFonts w:cstheme="minorHAnsi"/>
                <w:sz w:val="24"/>
                <w:szCs w:val="24"/>
              </w:rPr>
            </w:pPr>
            <w:r>
              <w:rPr>
                <w:rFonts w:cstheme="minorHAnsi"/>
                <w:sz w:val="24"/>
                <w:szCs w:val="24"/>
              </w:rPr>
              <w:t>Positive</w:t>
            </w:r>
          </w:p>
        </w:tc>
        <w:tc>
          <w:tcPr>
            <w:tcW w:w="1503" w:type="dxa"/>
          </w:tcPr>
          <w:p w14:paraId="44846C07" w14:textId="581285EF" w:rsidR="00920585" w:rsidRPr="00687AF6" w:rsidRDefault="00CF0C56">
            <w:pPr>
              <w:rPr>
                <w:rFonts w:cstheme="minorHAnsi"/>
                <w:sz w:val="24"/>
                <w:szCs w:val="24"/>
              </w:rPr>
            </w:pPr>
            <w:r>
              <w:rPr>
                <w:rFonts w:cstheme="minorHAnsi"/>
                <w:sz w:val="24"/>
                <w:szCs w:val="24"/>
              </w:rPr>
              <w:t>Listening</w:t>
            </w:r>
          </w:p>
        </w:tc>
        <w:tc>
          <w:tcPr>
            <w:tcW w:w="1503" w:type="dxa"/>
          </w:tcPr>
          <w:p w14:paraId="27312DB3" w14:textId="6149FFAB" w:rsidR="00920585" w:rsidRPr="00687AF6" w:rsidRDefault="00CF0C56">
            <w:pPr>
              <w:rPr>
                <w:rFonts w:cstheme="minorHAnsi"/>
                <w:sz w:val="24"/>
                <w:szCs w:val="24"/>
              </w:rPr>
            </w:pPr>
            <w:r>
              <w:rPr>
                <w:rFonts w:cstheme="minorHAnsi"/>
                <w:sz w:val="24"/>
                <w:szCs w:val="24"/>
              </w:rPr>
              <w:t>Communication</w:t>
            </w:r>
          </w:p>
        </w:tc>
        <w:tc>
          <w:tcPr>
            <w:tcW w:w="1503" w:type="dxa"/>
          </w:tcPr>
          <w:p w14:paraId="24B2E7BF" w14:textId="655D53B8" w:rsidR="00920585" w:rsidRPr="00687AF6" w:rsidRDefault="00A303C3">
            <w:pPr>
              <w:rPr>
                <w:rFonts w:cstheme="minorHAnsi"/>
                <w:sz w:val="24"/>
                <w:szCs w:val="24"/>
              </w:rPr>
            </w:pPr>
            <w:r>
              <w:rPr>
                <w:rFonts w:cstheme="minorHAnsi"/>
                <w:sz w:val="24"/>
                <w:szCs w:val="24"/>
              </w:rPr>
              <w:t>Stereotypes</w:t>
            </w:r>
          </w:p>
        </w:tc>
        <w:tc>
          <w:tcPr>
            <w:tcW w:w="1503" w:type="dxa"/>
          </w:tcPr>
          <w:p w14:paraId="7E715B4E" w14:textId="3D423431" w:rsidR="00920585" w:rsidRPr="00687AF6" w:rsidRDefault="00A303C3">
            <w:pPr>
              <w:rPr>
                <w:rFonts w:cstheme="minorHAnsi"/>
                <w:sz w:val="24"/>
                <w:szCs w:val="24"/>
              </w:rPr>
            </w:pPr>
            <w:r>
              <w:rPr>
                <w:rFonts w:cstheme="minorHAnsi"/>
                <w:sz w:val="24"/>
                <w:szCs w:val="24"/>
              </w:rPr>
              <w:t>Cultural expectations</w:t>
            </w:r>
          </w:p>
        </w:tc>
      </w:tr>
      <w:tr w:rsidR="00A303C3" w:rsidRPr="00687AF6" w14:paraId="333D59DA" w14:textId="77777777" w:rsidTr="00920585">
        <w:tc>
          <w:tcPr>
            <w:tcW w:w="1502" w:type="dxa"/>
          </w:tcPr>
          <w:p w14:paraId="7A65D77F" w14:textId="74F1AD70" w:rsidR="00920585" w:rsidRPr="00687AF6" w:rsidRDefault="00A303C3">
            <w:pPr>
              <w:rPr>
                <w:rFonts w:cstheme="minorHAnsi"/>
                <w:sz w:val="24"/>
                <w:szCs w:val="24"/>
              </w:rPr>
            </w:pPr>
            <w:r>
              <w:rPr>
                <w:rFonts w:cstheme="minorHAnsi"/>
                <w:sz w:val="24"/>
                <w:szCs w:val="24"/>
              </w:rPr>
              <w:t>Stigma</w:t>
            </w:r>
          </w:p>
        </w:tc>
        <w:tc>
          <w:tcPr>
            <w:tcW w:w="1502" w:type="dxa"/>
          </w:tcPr>
          <w:p w14:paraId="3009187A" w14:textId="0E4B665D" w:rsidR="00920585" w:rsidRPr="00687AF6" w:rsidRDefault="00A303C3">
            <w:pPr>
              <w:rPr>
                <w:rFonts w:cstheme="minorHAnsi"/>
                <w:sz w:val="24"/>
                <w:szCs w:val="24"/>
              </w:rPr>
            </w:pPr>
            <w:r>
              <w:rPr>
                <w:rFonts w:cstheme="minorHAnsi"/>
                <w:sz w:val="24"/>
                <w:szCs w:val="24"/>
              </w:rPr>
              <w:t>Coping strategies</w:t>
            </w:r>
          </w:p>
        </w:tc>
        <w:tc>
          <w:tcPr>
            <w:tcW w:w="1503" w:type="dxa"/>
          </w:tcPr>
          <w:p w14:paraId="67FCC52D" w14:textId="6DB5F919" w:rsidR="00920585" w:rsidRPr="00687AF6" w:rsidRDefault="00A303C3">
            <w:pPr>
              <w:rPr>
                <w:rFonts w:cstheme="minorHAnsi"/>
                <w:sz w:val="24"/>
                <w:szCs w:val="24"/>
              </w:rPr>
            </w:pPr>
            <w:r>
              <w:rPr>
                <w:rFonts w:cstheme="minorHAnsi"/>
                <w:sz w:val="24"/>
                <w:szCs w:val="24"/>
              </w:rPr>
              <w:t>Trust</w:t>
            </w:r>
          </w:p>
        </w:tc>
        <w:tc>
          <w:tcPr>
            <w:tcW w:w="1503" w:type="dxa"/>
          </w:tcPr>
          <w:p w14:paraId="67254CC7" w14:textId="7ED9D9F1" w:rsidR="00920585" w:rsidRPr="00687AF6" w:rsidRDefault="00A303C3">
            <w:pPr>
              <w:rPr>
                <w:rFonts w:cstheme="minorHAnsi"/>
                <w:sz w:val="24"/>
                <w:szCs w:val="24"/>
              </w:rPr>
            </w:pPr>
            <w:r>
              <w:rPr>
                <w:rFonts w:cstheme="minorHAnsi"/>
                <w:sz w:val="24"/>
                <w:szCs w:val="24"/>
              </w:rPr>
              <w:t>Intimacy</w:t>
            </w:r>
          </w:p>
        </w:tc>
        <w:tc>
          <w:tcPr>
            <w:tcW w:w="1503" w:type="dxa"/>
          </w:tcPr>
          <w:p w14:paraId="1CFF4AAF" w14:textId="79D931A0" w:rsidR="00920585" w:rsidRPr="00687AF6" w:rsidRDefault="00A303C3">
            <w:pPr>
              <w:rPr>
                <w:rFonts w:cstheme="minorHAnsi"/>
                <w:sz w:val="24"/>
                <w:szCs w:val="24"/>
              </w:rPr>
            </w:pPr>
            <w:r>
              <w:rPr>
                <w:rFonts w:cstheme="minorHAnsi"/>
                <w:sz w:val="24"/>
                <w:szCs w:val="24"/>
              </w:rPr>
              <w:t>Misconceptions</w:t>
            </w:r>
          </w:p>
        </w:tc>
        <w:tc>
          <w:tcPr>
            <w:tcW w:w="1503" w:type="dxa"/>
          </w:tcPr>
          <w:p w14:paraId="08E0CDA1" w14:textId="4A43D440" w:rsidR="00920585" w:rsidRPr="00687AF6" w:rsidRDefault="00A303C3">
            <w:pPr>
              <w:rPr>
                <w:rFonts w:cstheme="minorHAnsi"/>
                <w:sz w:val="24"/>
                <w:szCs w:val="24"/>
              </w:rPr>
            </w:pPr>
            <w:r>
              <w:rPr>
                <w:rFonts w:cstheme="minorHAnsi"/>
                <w:sz w:val="24"/>
                <w:szCs w:val="24"/>
              </w:rPr>
              <w:t>Wellbeing</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BAA0312" w14:textId="77777777" w:rsidR="00695BA2" w:rsidRPr="00695BA2" w:rsidRDefault="00695BA2" w:rsidP="008C0A32">
            <w:pPr>
              <w:shd w:val="clear" w:color="auto" w:fill="FFFFFF"/>
              <w:spacing w:before="240" w:after="120"/>
              <w:outlineLvl w:val="3"/>
              <w:rPr>
                <w:rFonts w:ascii="Lato" w:hAnsi="Lato" w:cs="Arial"/>
                <w:i/>
                <w:iCs/>
                <w:color w:val="1F4E79" w:themeColor="accent5" w:themeShade="80"/>
                <w:sz w:val="24"/>
                <w:szCs w:val="24"/>
                <w:shd w:val="clear" w:color="auto" w:fill="FFFFFF"/>
              </w:rPr>
            </w:pPr>
            <w:r w:rsidRPr="00695BA2">
              <w:rPr>
                <w:rFonts w:ascii="Lato" w:hAnsi="Lato" w:cs="Arial"/>
                <w:i/>
                <w:iCs/>
                <w:color w:val="1F4E79" w:themeColor="accent5" w:themeShade="80"/>
                <w:sz w:val="24"/>
                <w:szCs w:val="24"/>
                <w:shd w:val="clear" w:color="auto" w:fill="FFFFFF"/>
              </w:rPr>
              <w:t>Holes by Louis Sachar</w:t>
            </w:r>
          </w:p>
          <w:p w14:paraId="0FCCE8DD" w14:textId="6C9C1A4E" w:rsidR="00F63440" w:rsidRPr="00F63440" w:rsidRDefault="00A303C3" w:rsidP="008C0A32">
            <w:pPr>
              <w:shd w:val="clear" w:color="auto" w:fill="FFFFFF"/>
              <w:spacing w:before="240" w:after="120"/>
              <w:outlineLvl w:val="3"/>
              <w:rPr>
                <w:rFonts w:ascii="Lato" w:eastAsia="Times New Roman" w:hAnsi="Lato" w:cstheme="minorHAnsi"/>
                <w:i/>
                <w:iCs/>
                <w:sz w:val="25"/>
                <w:szCs w:val="25"/>
                <w:lang w:eastAsia="en-GB"/>
              </w:rPr>
            </w:pPr>
            <w:r w:rsidRPr="00695BA2">
              <w:rPr>
                <w:rFonts w:ascii="Lato" w:hAnsi="Lato" w:cs="Arial"/>
                <w:i/>
                <w:iCs/>
                <w:color w:val="1F4E79" w:themeColor="accent5" w:themeShade="80"/>
                <w:sz w:val="24"/>
                <w:szCs w:val="24"/>
                <w:shd w:val="clear" w:color="auto" w:fill="FFFFFF"/>
              </w:rPr>
              <w:t>The book centres on Stanley Yelnats, who is sent to Camp Green Lake, a correctional facility in Texas, after being falsely accused of theft. The plot explores the history of the area and how the actions of several characters in the past have affected Stanley's life in the present. These interconnecting stories touch on themes such as work, boyhood and masculinity, friendship, meaning of name</w:t>
            </w:r>
            <w:r w:rsidR="00695BA2" w:rsidRPr="00695BA2">
              <w:rPr>
                <w:rFonts w:ascii="Lato" w:hAnsi="Lato" w:cs="Arial"/>
                <w:i/>
                <w:iCs/>
                <w:color w:val="1F4E79" w:themeColor="accent5" w:themeShade="80"/>
                <w:sz w:val="24"/>
                <w:szCs w:val="24"/>
                <w:shd w:val="clear" w:color="auto" w:fill="FFFFFF"/>
              </w:rPr>
              <w:t xml:space="preserve">s, </w:t>
            </w:r>
            <w:r w:rsidRPr="00695BA2">
              <w:rPr>
                <w:rFonts w:ascii="Lato" w:hAnsi="Lato" w:cs="Arial"/>
                <w:i/>
                <w:iCs/>
                <w:color w:val="1F4E79" w:themeColor="accent5" w:themeShade="80"/>
                <w:sz w:val="24"/>
                <w:szCs w:val="24"/>
                <w:shd w:val="clear" w:color="auto" w:fill="FFFFFF"/>
              </w:rPr>
              <w:t>elements of fairy tales</w:t>
            </w:r>
            <w:r w:rsidR="00695BA2" w:rsidRPr="00695BA2">
              <w:rPr>
                <w:rFonts w:ascii="Lato" w:hAnsi="Lato" w:cs="Arial"/>
                <w:i/>
                <w:iCs/>
                <w:color w:val="1F4E79" w:themeColor="accent5" w:themeShade="80"/>
                <w:sz w:val="24"/>
                <w:szCs w:val="24"/>
                <w:shd w:val="clear" w:color="auto" w:fill="FFFFFF"/>
              </w:rPr>
              <w:t>, resilience and racism.</w:t>
            </w:r>
            <w:r w:rsidR="00695BA2" w:rsidRPr="00695BA2">
              <w:rPr>
                <w:rFonts w:ascii="Lato" w:hAnsi="Lato"/>
                <w:i/>
                <w:iCs/>
                <w:noProof/>
                <w:color w:val="1F4E79" w:themeColor="accent5" w:themeShade="80"/>
                <w:sz w:val="24"/>
                <w:szCs w:val="24"/>
              </w:rPr>
              <w:t xml:space="preserve"> </w:t>
            </w:r>
            <w:r>
              <w:rPr>
                <w:noProof/>
              </w:rPr>
              <w:drawing>
                <wp:anchor distT="0" distB="0" distL="114300" distR="114300" simplePos="0" relativeHeight="251658240" behindDoc="1" locked="0" layoutInCell="1" allowOverlap="1" wp14:anchorId="2693388E" wp14:editId="333DE68D">
                  <wp:simplePos x="0" y="0"/>
                  <wp:positionH relativeFrom="column">
                    <wp:posOffset>635</wp:posOffset>
                  </wp:positionH>
                  <wp:positionV relativeFrom="paragraph">
                    <wp:posOffset>153035</wp:posOffset>
                  </wp:positionV>
                  <wp:extent cx="1476375" cy="2238375"/>
                  <wp:effectExtent l="0" t="0" r="9525" b="9525"/>
                  <wp:wrapTight wrapText="bothSides">
                    <wp:wrapPolygon edited="0">
                      <wp:start x="0" y="0"/>
                      <wp:lineTo x="0" y="21508"/>
                      <wp:lineTo x="21461" y="21508"/>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76375" cy="2238375"/>
                          </a:xfrm>
                          <a:prstGeom prst="rect">
                            <a:avLst/>
                          </a:prstGeom>
                        </pic:spPr>
                      </pic:pic>
                    </a:graphicData>
                  </a:graphic>
                </wp:anchor>
              </w:drawing>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B4F4D" w14:textId="77777777" w:rsidR="006E279E" w:rsidRDefault="006E279E" w:rsidP="006E279E">
      <w:pPr>
        <w:spacing w:after="0" w:line="240" w:lineRule="auto"/>
      </w:pPr>
      <w:r>
        <w:separator/>
      </w:r>
    </w:p>
  </w:endnote>
  <w:endnote w:type="continuationSeparator" w:id="0">
    <w:p w14:paraId="26C5BFFC" w14:textId="77777777" w:rsidR="006E279E" w:rsidRDefault="006E279E" w:rsidP="006E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2373B" w14:textId="77777777" w:rsidR="006E279E" w:rsidRDefault="006E279E" w:rsidP="006E279E">
      <w:pPr>
        <w:spacing w:after="0" w:line="240" w:lineRule="auto"/>
      </w:pPr>
      <w:r>
        <w:separator/>
      </w:r>
    </w:p>
  </w:footnote>
  <w:footnote w:type="continuationSeparator" w:id="0">
    <w:p w14:paraId="31E1137A" w14:textId="77777777" w:rsidR="006E279E" w:rsidRDefault="006E279E" w:rsidP="006E2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C3F64"/>
    <w:rsid w:val="000D1F7C"/>
    <w:rsid w:val="000E349C"/>
    <w:rsid w:val="00104B3A"/>
    <w:rsid w:val="0011526F"/>
    <w:rsid w:val="00136D95"/>
    <w:rsid w:val="00152E58"/>
    <w:rsid w:val="001767DC"/>
    <w:rsid w:val="001B080A"/>
    <w:rsid w:val="002402A8"/>
    <w:rsid w:val="00387FE0"/>
    <w:rsid w:val="003D70EC"/>
    <w:rsid w:val="00455F38"/>
    <w:rsid w:val="005747BE"/>
    <w:rsid w:val="005C2ADA"/>
    <w:rsid w:val="00687AF6"/>
    <w:rsid w:val="00695526"/>
    <w:rsid w:val="00695BA2"/>
    <w:rsid w:val="006E279E"/>
    <w:rsid w:val="00770758"/>
    <w:rsid w:val="007726CC"/>
    <w:rsid w:val="007E5C02"/>
    <w:rsid w:val="007F304C"/>
    <w:rsid w:val="0082039C"/>
    <w:rsid w:val="00832998"/>
    <w:rsid w:val="00846C0E"/>
    <w:rsid w:val="00863441"/>
    <w:rsid w:val="00877415"/>
    <w:rsid w:val="008C0A32"/>
    <w:rsid w:val="008D477B"/>
    <w:rsid w:val="008F0343"/>
    <w:rsid w:val="008F6C26"/>
    <w:rsid w:val="00917AD4"/>
    <w:rsid w:val="00920585"/>
    <w:rsid w:val="009352F5"/>
    <w:rsid w:val="009D0BFB"/>
    <w:rsid w:val="009E6F6F"/>
    <w:rsid w:val="00A303C3"/>
    <w:rsid w:val="00AD03F7"/>
    <w:rsid w:val="00AF4C1A"/>
    <w:rsid w:val="00B10A0F"/>
    <w:rsid w:val="00B245FA"/>
    <w:rsid w:val="00B4349B"/>
    <w:rsid w:val="00C43E4B"/>
    <w:rsid w:val="00C7031D"/>
    <w:rsid w:val="00C96B26"/>
    <w:rsid w:val="00CF0C56"/>
    <w:rsid w:val="00D81D41"/>
    <w:rsid w:val="00D944D3"/>
    <w:rsid w:val="00F04698"/>
    <w:rsid w:val="00F36E43"/>
    <w:rsid w:val="00F63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303C3"/>
    <w:rPr>
      <w:color w:val="0000FF"/>
      <w:u w:val="single"/>
    </w:rPr>
  </w:style>
  <w:style w:type="character" w:customStyle="1" w:styleId="cite-bracket">
    <w:name w:val="cite-bracket"/>
    <w:basedOn w:val="DefaultParagraphFont"/>
    <w:rsid w:val="00A303C3"/>
  </w:style>
  <w:style w:type="paragraph" w:styleId="Header">
    <w:name w:val="header"/>
    <w:basedOn w:val="Normal"/>
    <w:link w:val="HeaderChar"/>
    <w:uiPriority w:val="99"/>
    <w:unhideWhenUsed/>
    <w:rsid w:val="006E2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79E"/>
  </w:style>
  <w:style w:type="paragraph" w:styleId="Footer">
    <w:name w:val="footer"/>
    <w:basedOn w:val="Normal"/>
    <w:link w:val="FooterChar"/>
    <w:uiPriority w:val="99"/>
    <w:unhideWhenUsed/>
    <w:rsid w:val="006E2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07969">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916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2025-09-15T07:45:00Z</dcterms:created>
  <dcterms:modified xsi:type="dcterms:W3CDTF">2025-09-15T07:45:00Z</dcterms:modified>
</cp:coreProperties>
</file>