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717"/>
        <w:gridCol w:w="993"/>
        <w:gridCol w:w="1134"/>
        <w:gridCol w:w="33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636123AB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0E6222">
              <w:rPr>
                <w:rFonts w:ascii="Verdana" w:hAnsi="Verdana"/>
                <w:b/>
                <w:bCs/>
                <w:sz w:val="24"/>
                <w:szCs w:val="24"/>
              </w:rPr>
              <w:t>AS level Biology Year 2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</w:tcPr>
          <w:p w14:paraId="66B7750A" w14:textId="10DEE254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0E6222">
              <w:rPr>
                <w:rFonts w:ascii="Verdana" w:hAnsi="Verdana"/>
                <w:b/>
                <w:bCs/>
                <w:sz w:val="24"/>
                <w:szCs w:val="24"/>
              </w:rPr>
              <w:t>AS level Biology</w:t>
            </w:r>
          </w:p>
        </w:tc>
        <w:tc>
          <w:tcPr>
            <w:tcW w:w="2160" w:type="dxa"/>
            <w:gridSpan w:val="3"/>
          </w:tcPr>
          <w:p w14:paraId="397B7F12" w14:textId="03FB9CB5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0865D559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24B07051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0E622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Study programme 3 - AS level Biology</w:t>
            </w:r>
          </w:p>
        </w:tc>
      </w:tr>
      <w:tr w:rsidR="00296110" w:rsidRPr="00B245FA" w14:paraId="79D970BC" w14:textId="77777777" w:rsidTr="00296110">
        <w:trPr>
          <w:gridAfter w:val="1"/>
          <w:wAfter w:w="33" w:type="dxa"/>
          <w:trHeight w:val="537"/>
        </w:trPr>
        <w:tc>
          <w:tcPr>
            <w:tcW w:w="7792" w:type="dxa"/>
            <w:gridSpan w:val="5"/>
          </w:tcPr>
          <w:p w14:paraId="341C9B97" w14:textId="11D880F4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t xml:space="preserve"> </w:t>
            </w:r>
            <w:r w:rsidRPr="00296110">
              <w:rPr>
                <w:rFonts w:ascii="Verdana" w:hAnsi="Verdana"/>
                <w:color w:val="1F3864" w:themeColor="accent1" w:themeShade="80"/>
                <w:sz w:val="24"/>
                <w:szCs w:val="24"/>
              </w:rPr>
              <w:t>Organisms exchange substances with their environment</w:t>
            </w:r>
          </w:p>
        </w:tc>
        <w:tc>
          <w:tcPr>
            <w:tcW w:w="1134" w:type="dxa"/>
          </w:tcPr>
          <w:p w14:paraId="2050C6B8" w14:textId="77777777" w:rsidR="00296110" w:rsidRDefault="00296110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6110" w:rsidRPr="00B245FA" w14:paraId="358C24DA" w14:textId="6B0E24FF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51366C3C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6946" w:type="dxa"/>
            <w:gridSpan w:val="4"/>
          </w:tcPr>
          <w:p w14:paraId="2FE3143D" w14:textId="33732BC8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surface area to volume ratio affects the rate of exchange in organisms.</w:t>
            </w:r>
          </w:p>
        </w:tc>
        <w:tc>
          <w:tcPr>
            <w:tcW w:w="1134" w:type="dxa"/>
          </w:tcPr>
          <w:p w14:paraId="18AE4CF1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73FCEE28" w14:textId="71CA683A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5C6E9DFA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6946" w:type="dxa"/>
            <w:gridSpan w:val="4"/>
          </w:tcPr>
          <w:p w14:paraId="5884A6B9" w14:textId="7DE403E8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Relate the size and metabolic rate of an organism to its requirement for specialised exchange surfaces.</w:t>
            </w:r>
          </w:p>
        </w:tc>
        <w:tc>
          <w:tcPr>
            <w:tcW w:w="1134" w:type="dxa"/>
          </w:tcPr>
          <w:p w14:paraId="7D0D7F7D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4E0D80F6" w14:textId="09E0D985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49496466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6946" w:type="dxa"/>
            <w:gridSpan w:val="4"/>
          </w:tcPr>
          <w:p w14:paraId="7800B430" w14:textId="1427D41E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Single-celled organisms: Describe how single-celled organisms exchange gases directly with their environment.</w:t>
            </w:r>
          </w:p>
        </w:tc>
        <w:tc>
          <w:tcPr>
            <w:tcW w:w="1134" w:type="dxa"/>
          </w:tcPr>
          <w:p w14:paraId="12058794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5F8539E1" w14:textId="792EFE72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77192A04" w14:textId="777777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6946" w:type="dxa"/>
            <w:gridSpan w:val="4"/>
          </w:tcPr>
          <w:p w14:paraId="1B6DD4B1" w14:textId="10EB8F17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Insects: Describe the structure of the tracheal system, and explain how gases are exchanged in insects</w:t>
            </w:r>
          </w:p>
        </w:tc>
        <w:tc>
          <w:tcPr>
            <w:tcW w:w="1134" w:type="dxa"/>
          </w:tcPr>
          <w:p w14:paraId="1AE458C6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6E33B8A5" w14:textId="2062F7E0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23AB0FFA" w14:textId="1D74247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6946" w:type="dxa"/>
            <w:gridSpan w:val="4"/>
          </w:tcPr>
          <w:p w14:paraId="7490B319" w14:textId="77D4DC1A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Fish: Describe the structure of fish gills and explain the counter-current mechanism that enables efficient gas exchange.</w:t>
            </w:r>
          </w:p>
        </w:tc>
        <w:tc>
          <w:tcPr>
            <w:tcW w:w="1134" w:type="dxa"/>
          </w:tcPr>
          <w:p w14:paraId="0FCC04E0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604C67E2" w14:textId="20E3B734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513F87CE" w14:textId="3B395C72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6946" w:type="dxa"/>
            <w:gridSpan w:val="4"/>
          </w:tcPr>
          <w:p w14:paraId="0D49B90A" w14:textId="166EF708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Plants: Describe the structure of a dicotyledonous leaf and explain how leaves are adapted for efficient gas exchange.</w:t>
            </w:r>
          </w:p>
        </w:tc>
        <w:tc>
          <w:tcPr>
            <w:tcW w:w="1134" w:type="dxa"/>
          </w:tcPr>
          <w:p w14:paraId="5AF817B6" w14:textId="77777777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7E3033AF" w14:textId="7AB28871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6E3A2C3B" w14:textId="61773487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6946" w:type="dxa"/>
            <w:gridSpan w:val="4"/>
          </w:tcPr>
          <w:p w14:paraId="48BFB930" w14:textId="4D85DBEC" w:rsidR="00296110" w:rsidRPr="00B245FA" w:rsidRDefault="00296110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0E6222">
              <w:rPr>
                <w:rFonts w:ascii="Verdana" w:hAnsi="Verdana" w:cstheme="minorHAnsi"/>
                <w:color w:val="002060"/>
              </w:rPr>
              <w:t>Terrestrial adaptations: Explain the adaptations of terrestrial insects and xerophytic plants to balance the conflicting needs of gas exchange and water loss.</w:t>
            </w:r>
          </w:p>
        </w:tc>
        <w:tc>
          <w:tcPr>
            <w:tcW w:w="1134" w:type="dxa"/>
          </w:tcPr>
          <w:p w14:paraId="2E294366" w14:textId="77777777" w:rsidR="00296110" w:rsidRPr="00B245FA" w:rsidRDefault="00296110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96110" w:rsidRPr="00B245FA" w14:paraId="23CC12AA" w14:textId="000B6CB6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1A3BCB32" w14:textId="7741424B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6946" w:type="dxa"/>
            <w:gridSpan w:val="4"/>
          </w:tcPr>
          <w:p w14:paraId="02EEF224" w14:textId="4BF0311E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Gross structure: Describe the gross structure of the human gas exchange system, including the trachea, bronchi, bronchioles, lungs, diaphragm, and alveoli.</w:t>
            </w:r>
          </w:p>
        </w:tc>
        <w:tc>
          <w:tcPr>
            <w:tcW w:w="1134" w:type="dxa"/>
          </w:tcPr>
          <w:p w14:paraId="51562EA0" w14:textId="77777777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76BC0C43" w14:textId="724785EB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66F4D774" w14:textId="0BEA49B5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6946" w:type="dxa"/>
            <w:gridSpan w:val="4"/>
          </w:tcPr>
          <w:p w14:paraId="59FA69DC" w14:textId="7B9726E7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Alveoli structure: Explain the essential features of the alveolar epithelium that make it an efficient gas exchange surface.</w:t>
            </w:r>
          </w:p>
        </w:tc>
        <w:tc>
          <w:tcPr>
            <w:tcW w:w="1134" w:type="dxa"/>
          </w:tcPr>
          <w:p w14:paraId="3CE96F06" w14:textId="77777777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73EA7C35" w14:textId="77777777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72C982A2" w14:textId="2F1BBA0D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6946" w:type="dxa"/>
            <w:gridSpan w:val="4"/>
          </w:tcPr>
          <w:p w14:paraId="37A57F55" w14:textId="1CDB81AC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Ventilation mechanism: Describe and explain the mechanism of breathing (ventilation), including the role of the diaphragm and intercostal muscles in changing the pressure within the thoracic cavity.</w:t>
            </w:r>
          </w:p>
        </w:tc>
        <w:tc>
          <w:tcPr>
            <w:tcW w:w="1134" w:type="dxa"/>
          </w:tcPr>
          <w:p w14:paraId="5E2CB361" w14:textId="77777777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96110" w:rsidRPr="00B245FA" w14:paraId="5C79B561" w14:textId="77777777" w:rsidTr="00296110">
        <w:trPr>
          <w:gridAfter w:val="1"/>
          <w:wAfter w:w="33" w:type="dxa"/>
          <w:trHeight w:val="537"/>
        </w:trPr>
        <w:tc>
          <w:tcPr>
            <w:tcW w:w="846" w:type="dxa"/>
          </w:tcPr>
          <w:p w14:paraId="718A18E0" w14:textId="5A46A9FD" w:rsidR="00296110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6946" w:type="dxa"/>
            <w:gridSpan w:val="4"/>
          </w:tcPr>
          <w:p w14:paraId="59E94993" w14:textId="437155ED" w:rsidR="00296110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E6222">
              <w:rPr>
                <w:rFonts w:ascii="Verdana" w:hAnsi="Verdana" w:cstheme="minorHAnsi"/>
                <w:color w:val="002060"/>
                <w:sz w:val="24"/>
                <w:szCs w:val="24"/>
              </w:rPr>
              <w:t>Lung disease: Interpret information relating to the effects of lung disease (such as asthma, emphysema, and fibrosis) on gas exchange.</w:t>
            </w:r>
          </w:p>
        </w:tc>
        <w:tc>
          <w:tcPr>
            <w:tcW w:w="1134" w:type="dxa"/>
          </w:tcPr>
          <w:p w14:paraId="72C075F2" w14:textId="77777777" w:rsidR="00296110" w:rsidRPr="00B245FA" w:rsidRDefault="00296110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462"/>
        <w:gridCol w:w="1901"/>
        <w:gridCol w:w="1799"/>
        <w:gridCol w:w="2229"/>
        <w:gridCol w:w="1683"/>
      </w:tblGrid>
      <w:tr w:rsidR="00296110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3FA7CAC0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296110">
              <w:rPr>
                <w:rFonts w:ascii="Verdana" w:hAnsi="Verdana"/>
                <w:color w:val="002060"/>
                <w:sz w:val="24"/>
                <w:szCs w:val="24"/>
              </w:rPr>
              <w:t>Exchange surface</w:t>
            </w:r>
          </w:p>
        </w:tc>
        <w:tc>
          <w:tcPr>
            <w:tcW w:w="1825" w:type="dxa"/>
          </w:tcPr>
          <w:p w14:paraId="7CDA4861" w14:textId="7A79556A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Active transport</w:t>
            </w:r>
          </w:p>
        </w:tc>
        <w:tc>
          <w:tcPr>
            <w:tcW w:w="1823" w:type="dxa"/>
          </w:tcPr>
          <w:p w14:paraId="5D17AF0B" w14:textId="715D8A19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Tracheoles</w:t>
            </w:r>
          </w:p>
        </w:tc>
        <w:tc>
          <w:tcPr>
            <w:tcW w:w="2255" w:type="dxa"/>
          </w:tcPr>
          <w:p w14:paraId="70A311EF" w14:textId="64803B82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color w:val="002060"/>
                <w:sz w:val="24"/>
                <w:szCs w:val="24"/>
              </w:rPr>
              <w:t>Countercurrent</w:t>
            </w:r>
            <w:proofErr w:type="spellEnd"/>
          </w:p>
        </w:tc>
        <w:tc>
          <w:tcPr>
            <w:tcW w:w="1696" w:type="dxa"/>
          </w:tcPr>
          <w:p w14:paraId="3AF3EEF7" w14:textId="1D9F773D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Circulatory </w:t>
            </w:r>
          </w:p>
        </w:tc>
      </w:tr>
      <w:tr w:rsidR="00296110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74B24495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825" w:type="dxa"/>
          </w:tcPr>
          <w:p w14:paraId="2B6B0AA7" w14:textId="03424A07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Concentration gradient</w:t>
            </w:r>
          </w:p>
        </w:tc>
        <w:tc>
          <w:tcPr>
            <w:tcW w:w="1823" w:type="dxa"/>
          </w:tcPr>
          <w:p w14:paraId="44846C07" w14:textId="5345D859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Spiracles</w:t>
            </w:r>
          </w:p>
        </w:tc>
        <w:tc>
          <w:tcPr>
            <w:tcW w:w="2255" w:type="dxa"/>
          </w:tcPr>
          <w:p w14:paraId="27312DB3" w14:textId="6ACE4E78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Ventilation </w:t>
            </w:r>
          </w:p>
        </w:tc>
        <w:tc>
          <w:tcPr>
            <w:tcW w:w="1696" w:type="dxa"/>
          </w:tcPr>
          <w:p w14:paraId="24B2E7BF" w14:textId="386F1601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arteries</w:t>
            </w:r>
          </w:p>
        </w:tc>
      </w:tr>
      <w:tr w:rsidR="00296110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70E4AEF3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Osmosis</w:t>
            </w:r>
          </w:p>
        </w:tc>
        <w:tc>
          <w:tcPr>
            <w:tcW w:w="1825" w:type="dxa"/>
          </w:tcPr>
          <w:p w14:paraId="3009187A" w14:textId="4A46E3A1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Surface area</w:t>
            </w:r>
          </w:p>
        </w:tc>
        <w:tc>
          <w:tcPr>
            <w:tcW w:w="1823" w:type="dxa"/>
          </w:tcPr>
          <w:p w14:paraId="67FCC52D" w14:textId="49D608F2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Lamellae </w:t>
            </w:r>
          </w:p>
        </w:tc>
        <w:tc>
          <w:tcPr>
            <w:tcW w:w="2255" w:type="dxa"/>
          </w:tcPr>
          <w:p w14:paraId="67254CC7" w14:textId="6D592DB8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diaphragm</w:t>
            </w:r>
          </w:p>
        </w:tc>
        <w:tc>
          <w:tcPr>
            <w:tcW w:w="1696" w:type="dxa"/>
          </w:tcPr>
          <w:p w14:paraId="1CFF4AAF" w14:textId="67659380" w:rsidR="0066325A" w:rsidRPr="00B245FA" w:rsidRDefault="002961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bronchioles</w:t>
            </w:r>
          </w:p>
        </w:tc>
      </w:tr>
      <w:tr w:rsidR="00296110" w:rsidRPr="00B245FA" w14:paraId="49ED74C6" w14:textId="77777777" w:rsidTr="0066325A">
        <w:trPr>
          <w:trHeight w:val="510"/>
        </w:trPr>
        <w:tc>
          <w:tcPr>
            <w:tcW w:w="1475" w:type="dxa"/>
          </w:tcPr>
          <w:p w14:paraId="018ABD95" w14:textId="605915B1" w:rsidR="00296110" w:rsidRDefault="00EC5C9B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medium</w:t>
            </w:r>
          </w:p>
        </w:tc>
        <w:tc>
          <w:tcPr>
            <w:tcW w:w="1825" w:type="dxa"/>
          </w:tcPr>
          <w:p w14:paraId="4297B074" w14:textId="29B43B55" w:rsidR="00296110" w:rsidRDefault="00EC5C9B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correlation</w:t>
            </w:r>
          </w:p>
        </w:tc>
        <w:tc>
          <w:tcPr>
            <w:tcW w:w="1823" w:type="dxa"/>
          </w:tcPr>
          <w:p w14:paraId="50593C3D" w14:textId="08786F76" w:rsidR="00296110" w:rsidRDefault="00EC5C9B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adaptations</w:t>
            </w:r>
          </w:p>
        </w:tc>
        <w:tc>
          <w:tcPr>
            <w:tcW w:w="2255" w:type="dxa"/>
          </w:tcPr>
          <w:p w14:paraId="0A68DD42" w14:textId="420A26C2" w:rsidR="00296110" w:rsidRDefault="00EC5C9B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emphysema</w:t>
            </w:r>
          </w:p>
        </w:tc>
        <w:tc>
          <w:tcPr>
            <w:tcW w:w="1696" w:type="dxa"/>
          </w:tcPr>
          <w:p w14:paraId="73FCF26F" w14:textId="1B3F31CC" w:rsidR="00296110" w:rsidRDefault="00EC5C9B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intercostal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92C488C" w14:textId="26C84059" w:rsidR="00EC5C9B" w:rsidRPr="00EC5C9B" w:rsidRDefault="00EC5C9B" w:rsidP="007944BE">
            <w:pPr>
              <w:shd w:val="clear" w:color="auto" w:fill="FFFFFF"/>
              <w:spacing w:before="240" w:after="120"/>
              <w:outlineLvl w:val="3"/>
              <w:rPr>
                <w:rStyle w:val="Emphasis"/>
                <w:rFonts w:ascii="Roboto" w:hAnsi="Roboto"/>
                <w:b/>
                <w:bCs/>
                <w:color w:val="1F3864" w:themeColor="accent1" w:themeShade="80"/>
                <w:sz w:val="28"/>
                <w:szCs w:val="28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F54BEC4" wp14:editId="7010033A">
                  <wp:simplePos x="0" y="0"/>
                  <wp:positionH relativeFrom="column">
                    <wp:posOffset>4203065</wp:posOffset>
                  </wp:positionH>
                  <wp:positionV relativeFrom="paragraph">
                    <wp:posOffset>26670</wp:posOffset>
                  </wp:positionV>
                  <wp:extent cx="1374140" cy="2082165"/>
                  <wp:effectExtent l="0" t="0" r="0" b="0"/>
                  <wp:wrapThrough wrapText="bothSides">
                    <wp:wrapPolygon edited="0">
                      <wp:start x="0" y="0"/>
                      <wp:lineTo x="0" y="21343"/>
                      <wp:lineTo x="21261" y="21343"/>
                      <wp:lineTo x="21261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140" cy="2082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C5C9B">
              <w:rPr>
                <w:rStyle w:val="Emphasis"/>
                <w:rFonts w:ascii="Roboto" w:hAnsi="Roboto"/>
                <w:b/>
                <w:bCs/>
                <w:color w:val="1F3864" w:themeColor="accent1" w:themeShade="80"/>
                <w:sz w:val="28"/>
                <w:szCs w:val="28"/>
                <w:shd w:val="clear" w:color="auto" w:fill="FFFFFF"/>
              </w:rPr>
              <w:t>The Immortal Life of Henrietta Lacks</w:t>
            </w:r>
            <w:r>
              <w:rPr>
                <w:rStyle w:val="Emphasis"/>
                <w:rFonts w:ascii="Roboto" w:hAnsi="Roboto"/>
                <w:b/>
                <w:bCs/>
                <w:color w:val="1F3864" w:themeColor="accent1" w:themeShade="80"/>
                <w:sz w:val="28"/>
                <w:szCs w:val="28"/>
                <w:shd w:val="clear" w:color="auto" w:fill="FFFFFF"/>
              </w:rPr>
              <w:t xml:space="preserve"> </w:t>
            </w:r>
            <w:r w:rsidRPr="00EC5C9B">
              <w:rPr>
                <w:rStyle w:val="Emphasis"/>
                <w:rFonts w:ascii="Roboto" w:hAnsi="Roboto"/>
                <w:b/>
                <w:bCs/>
                <w:color w:val="1F3864" w:themeColor="accent1" w:themeShade="80"/>
                <w:sz w:val="28"/>
                <w:szCs w:val="28"/>
                <w:shd w:val="clear" w:color="auto" w:fill="FFFFFF"/>
              </w:rPr>
              <w:t>by Rebecca Skloot:</w:t>
            </w:r>
          </w:p>
          <w:p w14:paraId="0FCCE8DD" w14:textId="45E2BF0D" w:rsidR="00B245FA" w:rsidRPr="00B245FA" w:rsidRDefault="00EC5C9B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EC5C9B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This book tells the captivating story of Henrietta Lacks, whose cancer cells were taken without her knowledge and became one of the most important tools in medicine. It’s a powerful narrative that explores ethics, race, and the history of medicine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0E6222"/>
    <w:rsid w:val="0013211C"/>
    <w:rsid w:val="00152E58"/>
    <w:rsid w:val="001B080A"/>
    <w:rsid w:val="00296110"/>
    <w:rsid w:val="003C73ED"/>
    <w:rsid w:val="003F2865"/>
    <w:rsid w:val="00455F38"/>
    <w:rsid w:val="004D02C1"/>
    <w:rsid w:val="00557E29"/>
    <w:rsid w:val="005A52E0"/>
    <w:rsid w:val="005C2ADA"/>
    <w:rsid w:val="005E401F"/>
    <w:rsid w:val="0066325A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944D3"/>
    <w:rsid w:val="00DD37E2"/>
    <w:rsid w:val="00E43F44"/>
    <w:rsid w:val="00EC5C9B"/>
    <w:rsid w:val="00EF2D23"/>
    <w:rsid w:val="00F04698"/>
    <w:rsid w:val="00F75C6D"/>
    <w:rsid w:val="00FA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C5C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2025-09-23T19:57:00Z</dcterms:created>
  <dcterms:modified xsi:type="dcterms:W3CDTF">2025-09-23T19:57:00Z</dcterms:modified>
</cp:coreProperties>
</file>