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86AC76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 xml:space="preserve"> Post 16, </w:t>
            </w:r>
            <w:r w:rsidR="00B61F75">
              <w:rPr>
                <w:rFonts w:ascii="Verdana" w:hAnsi="Verdana"/>
                <w:b/>
                <w:bCs/>
                <w:sz w:val="24"/>
                <w:szCs w:val="24"/>
              </w:rPr>
              <w:t>A-level</w:t>
            </w:r>
            <w:r w:rsidR="005A6310">
              <w:rPr>
                <w:rFonts w:ascii="Verdana" w:hAnsi="Verdana"/>
                <w:b/>
                <w:bCs/>
                <w:sz w:val="24"/>
                <w:szCs w:val="24"/>
              </w:rPr>
              <w:t>, Year 2</w:t>
            </w:r>
          </w:p>
        </w:tc>
        <w:tc>
          <w:tcPr>
            <w:tcW w:w="2956" w:type="dxa"/>
          </w:tcPr>
          <w:p w14:paraId="181E5C95" w14:textId="03716B2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93648">
              <w:rPr>
                <w:rFonts w:ascii="Verdana" w:hAnsi="Verdana"/>
                <w:b/>
                <w:bCs/>
                <w:sz w:val="24"/>
                <w:szCs w:val="24"/>
              </w:rPr>
              <w:t xml:space="preserve"> Art</w:t>
            </w:r>
            <w:r w:rsidR="003478AB">
              <w:rPr>
                <w:rFonts w:ascii="Verdana" w:hAnsi="Verdana"/>
                <w:b/>
                <w:bCs/>
                <w:sz w:val="24"/>
                <w:szCs w:val="24"/>
              </w:rPr>
              <w:t xml:space="preserve"> and Design </w:t>
            </w:r>
          </w:p>
        </w:tc>
        <w:tc>
          <w:tcPr>
            <w:tcW w:w="2901" w:type="dxa"/>
          </w:tcPr>
          <w:p w14:paraId="5FD2855C" w14:textId="04285A62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9759122" w:rsidR="00B245FA" w:rsidRPr="00B245FA" w:rsidRDefault="00B61F7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Kizzy</w:t>
            </w:r>
          </w:p>
        </w:tc>
      </w:tr>
      <w:tr w:rsidR="00B245FA" w:rsidRPr="00B245FA" w14:paraId="0B0B2711" w14:textId="77777777" w:rsidTr="005A6310">
        <w:trPr>
          <w:trHeight w:val="677"/>
        </w:trPr>
        <w:tc>
          <w:tcPr>
            <w:tcW w:w="9067" w:type="dxa"/>
            <w:gridSpan w:val="5"/>
          </w:tcPr>
          <w:p w14:paraId="151CC055" w14:textId="59A6FA8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B61F7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2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49F145" w14:textId="77777777" w:rsidR="005A6310" w:rsidRPr="005A6310" w:rsidRDefault="00B245FA" w:rsidP="005A6310">
            <w:pPr>
              <w:rPr>
                <w:rFonts w:ascii="Open Sans" w:hAnsi="Open Sans" w:cs="Open Sans"/>
                <w:lang w:val="en-US"/>
              </w:rPr>
            </w:pPr>
            <w:r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Term 1 focus</w:t>
            </w:r>
            <w:r w:rsidR="00393648" w:rsidRPr="005A63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5A6310" w:rsidRPr="005A6310">
              <w:rPr>
                <w:rFonts w:ascii="Open Sans" w:hAnsi="Open Sans" w:cs="Open Sans"/>
                <w:lang w:val="en-US"/>
              </w:rPr>
              <w:t xml:space="preserve"> </w:t>
            </w:r>
          </w:p>
          <w:p w14:paraId="0BA4DC3C" w14:textId="43F5BC69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 xml:space="preserve">In this phase students move increasingly from dependence to independence as they work on a self-selected starting point for a sustained project. The project could be devised by the school, modelled on previous externally set assignment papers or use actual past starting points drawn from previous </w:t>
            </w:r>
            <w:r>
              <w:rPr>
                <w:rFonts w:ascii="Open Sans" w:hAnsi="Open Sans" w:cs="Open Sans"/>
                <w:lang w:val="en-US"/>
              </w:rPr>
              <w:t>e</w:t>
            </w:r>
            <w:r w:rsidRPr="002122B6">
              <w:rPr>
                <w:rFonts w:ascii="Open Sans" w:hAnsi="Open Sans" w:cs="Open Sans"/>
                <w:lang w:val="en-US"/>
              </w:rPr>
              <w:t>xternally set assignment papers. Suggested starting points could include:</w:t>
            </w:r>
          </w:p>
          <w:p w14:paraId="6DD9A173" w14:textId="77777777" w:rsidR="00B61F75" w:rsidRPr="00B61F75" w:rsidRDefault="00265C73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Style w:val="bold"/>
                <w:rFonts w:ascii="Open Sans" w:hAnsi="Open Sans" w:cs="Open Sans"/>
              </w:rPr>
            </w:pPr>
            <w:r>
              <w:rPr>
                <w:rStyle w:val="texteditor-inline-color"/>
                <w:rFonts w:ascii="Tahoma" w:hAnsi="Tahoma" w:cs="Tahoma"/>
                <w:color w:val="FFFFFF"/>
                <w:shd w:val="clear" w:color="auto" w:fill="000000"/>
              </w:rPr>
              <w:t> 1. </w:t>
            </w:r>
            <w:r>
              <w:rPr>
                <w:rStyle w:val="bold"/>
                <w:rFonts w:ascii="Tahoma" w:hAnsi="Tahoma" w:cs="Tahoma"/>
                <w:b/>
                <w:bCs/>
                <w:color w:val="FFFFFF"/>
                <w:shd w:val="clear" w:color="auto" w:fill="000000"/>
              </w:rPr>
              <w:t>Decorative</w:t>
            </w:r>
            <w:r>
              <w:rPr>
                <w:rFonts w:ascii="Tahoma" w:hAnsi="Tahoma" w:cs="Tahoma"/>
                <w:color w:val="FFFFFF"/>
              </w:rPr>
              <w:br/>
            </w:r>
            <w:r>
              <w:rPr>
                <w:rStyle w:val="texteditor-inline-color"/>
                <w:rFonts w:ascii="Tahoma" w:hAnsi="Tahoma" w:cs="Tahoma"/>
                <w:color w:val="FFFFFF"/>
                <w:shd w:val="clear" w:color="auto" w:fill="000000"/>
              </w:rPr>
              <w:t>   2. </w:t>
            </w:r>
            <w:r>
              <w:rPr>
                <w:rStyle w:val="bold"/>
                <w:rFonts w:ascii="Tahoma" w:hAnsi="Tahoma" w:cs="Tahoma"/>
                <w:b/>
                <w:bCs/>
                <w:color w:val="FFFFFF"/>
                <w:shd w:val="clear" w:color="auto" w:fill="000000"/>
              </w:rPr>
              <w:t>Vivid</w:t>
            </w:r>
            <w:r>
              <w:rPr>
                <w:rFonts w:ascii="Tahoma" w:hAnsi="Tahoma" w:cs="Tahoma"/>
                <w:color w:val="FFFFFF"/>
              </w:rPr>
              <w:br/>
            </w:r>
            <w:r>
              <w:rPr>
                <w:rStyle w:val="texteditor-inline-color"/>
                <w:rFonts w:ascii="Tahoma" w:hAnsi="Tahoma" w:cs="Tahoma"/>
                <w:color w:val="FFFFFF"/>
                <w:shd w:val="clear" w:color="auto" w:fill="000000"/>
              </w:rPr>
              <w:t>   3. </w:t>
            </w:r>
            <w:r>
              <w:rPr>
                <w:rStyle w:val="bold"/>
                <w:rFonts w:ascii="Tahoma" w:hAnsi="Tahoma" w:cs="Tahoma"/>
                <w:b/>
                <w:bCs/>
                <w:color w:val="FFFFFF"/>
                <w:shd w:val="clear" w:color="auto" w:fill="000000"/>
              </w:rPr>
              <w:t>Mirrors</w:t>
            </w:r>
            <w:r>
              <w:rPr>
                <w:rFonts w:ascii="Tahoma" w:hAnsi="Tahoma" w:cs="Tahoma"/>
                <w:color w:val="FFFFFF"/>
              </w:rPr>
              <w:br/>
            </w:r>
            <w:r>
              <w:rPr>
                <w:rFonts w:ascii="Tahoma" w:hAnsi="Tahoma" w:cs="Tahoma"/>
                <w:color w:val="FFFFFF"/>
                <w:shd w:val="clear" w:color="auto" w:fill="000000"/>
              </w:rPr>
              <w:t>   4. </w:t>
            </w:r>
            <w:r>
              <w:rPr>
                <w:rStyle w:val="bold"/>
                <w:rFonts w:ascii="Tahoma" w:hAnsi="Tahoma" w:cs="Tahoma"/>
                <w:b/>
                <w:bCs/>
                <w:color w:val="FFFFFF"/>
                <w:shd w:val="clear" w:color="auto" w:fill="000000"/>
              </w:rPr>
              <w:t>Gatherings</w:t>
            </w:r>
            <w:r>
              <w:rPr>
                <w:rFonts w:ascii="Tahoma" w:hAnsi="Tahoma" w:cs="Tahoma"/>
                <w:color w:val="FFFFFF"/>
              </w:rPr>
              <w:br/>
            </w:r>
            <w:r>
              <w:rPr>
                <w:rFonts w:ascii="Tahoma" w:hAnsi="Tahoma" w:cs="Tahoma"/>
                <w:color w:val="FFFFFF"/>
                <w:shd w:val="clear" w:color="auto" w:fill="000000"/>
              </w:rPr>
              <w:t>   5. </w:t>
            </w:r>
            <w:r>
              <w:rPr>
                <w:rStyle w:val="bold"/>
                <w:rFonts w:ascii="Tahoma" w:hAnsi="Tahoma" w:cs="Tahoma"/>
                <w:b/>
                <w:bCs/>
                <w:color w:val="FFFFFF"/>
                <w:shd w:val="clear" w:color="auto" w:fill="000000"/>
              </w:rPr>
              <w:t>Fauna</w:t>
            </w:r>
            <w:r>
              <w:rPr>
                <w:rFonts w:ascii="Tahoma" w:hAnsi="Tahoma" w:cs="Tahoma"/>
                <w:color w:val="FFFFFF"/>
              </w:rPr>
              <w:br/>
            </w:r>
            <w:r>
              <w:rPr>
                <w:rFonts w:ascii="Tahoma" w:hAnsi="Tahoma" w:cs="Tahoma"/>
                <w:color w:val="FFFFFF"/>
                <w:shd w:val="clear" w:color="auto" w:fill="000000"/>
              </w:rPr>
              <w:t>   6. </w:t>
            </w:r>
            <w:r>
              <w:rPr>
                <w:rStyle w:val="bold"/>
                <w:rFonts w:ascii="Tahoma" w:hAnsi="Tahoma" w:cs="Tahoma"/>
                <w:b/>
                <w:bCs/>
                <w:color w:val="FFFFFF"/>
                <w:shd w:val="clear" w:color="auto" w:fill="000000"/>
              </w:rPr>
              <w:t>The Mundane</w:t>
            </w:r>
            <w:r>
              <w:rPr>
                <w:rFonts w:ascii="Tahoma" w:hAnsi="Tahoma" w:cs="Tahoma"/>
                <w:color w:val="FFFFFF"/>
              </w:rPr>
              <w:br/>
            </w:r>
            <w:r>
              <w:rPr>
                <w:rFonts w:ascii="Tahoma" w:hAnsi="Tahoma" w:cs="Tahoma"/>
                <w:color w:val="FFFFFF"/>
                <w:shd w:val="clear" w:color="auto" w:fill="000000"/>
              </w:rPr>
              <w:t>   7. </w:t>
            </w:r>
            <w:r>
              <w:rPr>
                <w:rStyle w:val="bold"/>
                <w:rFonts w:ascii="Tahoma" w:hAnsi="Tahoma" w:cs="Tahoma"/>
                <w:b/>
                <w:bCs/>
                <w:color w:val="FFFFFF"/>
                <w:shd w:val="clear" w:color="auto" w:fill="000000"/>
              </w:rPr>
              <w:t>Light in the landscape</w:t>
            </w:r>
            <w:r>
              <w:rPr>
                <w:rFonts w:ascii="Tahoma" w:hAnsi="Tahoma" w:cs="Tahoma"/>
                <w:color w:val="FFFFFF"/>
              </w:rPr>
              <w:br/>
            </w:r>
            <w:r>
              <w:rPr>
                <w:rFonts w:ascii="Tahoma" w:hAnsi="Tahoma" w:cs="Tahoma"/>
                <w:color w:val="FFFFFF"/>
                <w:shd w:val="clear" w:color="auto" w:fill="000000"/>
              </w:rPr>
              <w:t>   8. </w:t>
            </w:r>
            <w:r>
              <w:rPr>
                <w:rStyle w:val="bold"/>
                <w:rFonts w:ascii="Tahoma" w:hAnsi="Tahoma" w:cs="Tahoma"/>
                <w:b/>
                <w:bCs/>
                <w:color w:val="FFFFFF"/>
                <w:shd w:val="clear" w:color="auto" w:fill="000000"/>
              </w:rPr>
              <w:t>Time</w:t>
            </w:r>
          </w:p>
          <w:p w14:paraId="7C809505" w14:textId="0030DEA2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independently research potential additional sources and associated references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6BE1C9F0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explicitly evidence coverage of all four assessment objectives, including drawing for different purposes and needs and written annotation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500CF665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spacing w:after="120"/>
              <w:rPr>
                <w:rFonts w:ascii="Open Sans" w:hAnsi="Open Sans" w:cs="Open Sans"/>
                <w:lang w:val="en-US"/>
              </w:rPr>
            </w:pPr>
            <w:r w:rsidRPr="002122B6">
              <w:rPr>
                <w:rFonts w:ascii="Open Sans" w:hAnsi="Open Sans" w:cs="Open Sans"/>
                <w:lang w:val="en-US"/>
              </w:rPr>
              <w:t>Students choose from a variety of appropriate approaches. They need to employ one or more of the areas of study listed in the Fine art title</w:t>
            </w:r>
            <w:r>
              <w:rPr>
                <w:rFonts w:ascii="Open Sans" w:hAnsi="Open Sans" w:cs="Open Sans"/>
                <w:lang w:val="en-US"/>
              </w:rPr>
              <w:t>.</w:t>
            </w:r>
          </w:p>
          <w:p w14:paraId="1C55646C" w14:textId="77777777" w:rsidR="005A6310" w:rsidRPr="002122B6" w:rsidRDefault="005A6310" w:rsidP="005A631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cs="Open Sans"/>
              </w:rPr>
            </w:pPr>
            <w:r w:rsidRPr="002122B6">
              <w:rPr>
                <w:rFonts w:ascii="Open Sans" w:hAnsi="Open Sans" w:cs="Open Sans"/>
                <w:lang w:val="en-US"/>
              </w:rPr>
              <w:t>The Sustained project should allow students to move from a position of dependence to one of increasing independence as the journey of exploration progresses.</w:t>
            </w:r>
          </w:p>
          <w:p w14:paraId="45E674C4" w14:textId="4EA18E5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393648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64C370D4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AO1:  RESEARCH – IMAGES &amp; ARTISTS</w:t>
            </w:r>
          </w:p>
          <w:p w14:paraId="38CC6A81" w14:textId="7C4659DF" w:rsidR="003737B5" w:rsidRDefault="003737B5" w:rsidP="003737B5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Develop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investigations informed by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contextual and other sources,</w:t>
            </w:r>
            <w:r w:rsidRPr="003737B5">
              <w:rPr>
                <w:sz w:val="24"/>
                <w:szCs w:val="24"/>
                <w:lang w:val="en-US"/>
              </w:rPr>
              <w:t xml:space="preserve"> demonstrating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analytical and cultural understanding</w:t>
            </w:r>
            <w:r w:rsidRPr="003737B5">
              <w:rPr>
                <w:sz w:val="24"/>
                <w:szCs w:val="24"/>
                <w:lang w:val="en-US"/>
              </w:rPr>
              <w:t>.</w:t>
            </w:r>
          </w:p>
          <w:p w14:paraId="31F2C935" w14:textId="644A3EBB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Develop ideas through sustained and focused investigations informed by contextual and other sources, demonstrating analytical and critical understanding</w:t>
            </w:r>
          </w:p>
          <w:p w14:paraId="2FE3143D" w14:textId="0FC3C75A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33E7868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AO2:  EXPERIMENTS WITH MEDIA</w:t>
            </w:r>
          </w:p>
          <w:p w14:paraId="4E9DF6B0" w14:textId="0F556D58" w:rsidR="003737B5" w:rsidRDefault="003737B5" w:rsidP="003737B5">
            <w:pPr>
              <w:rPr>
                <w:i/>
                <w:iCs/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Refine your ideas</w:t>
            </w:r>
            <w:r w:rsidRPr="003737B5">
              <w:rPr>
                <w:sz w:val="24"/>
                <w:szCs w:val="24"/>
                <w:lang w:val="en-US"/>
              </w:rPr>
              <w:t xml:space="preserve"> through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experimenting and selecting</w:t>
            </w:r>
            <w:r w:rsidRPr="003737B5">
              <w:rPr>
                <w:sz w:val="24"/>
                <w:szCs w:val="24"/>
                <w:lang w:val="en-US"/>
              </w:rPr>
              <w:t xml:space="preserve"> appropriate resources, media, materials,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techniques and processes.</w:t>
            </w:r>
          </w:p>
          <w:p w14:paraId="5B50818A" w14:textId="191B7F88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Explore and select appropriate resources, media, materials, techniques and processes, reviewing and refining ideas as work develops.</w:t>
            </w:r>
          </w:p>
          <w:p w14:paraId="5884A6B9" w14:textId="787BDF9D" w:rsidR="00393648" w:rsidRPr="00393648" w:rsidRDefault="00393648" w:rsidP="00393648">
            <w:pPr>
              <w:rPr>
                <w:sz w:val="24"/>
                <w:szCs w:val="24"/>
              </w:rPr>
            </w:pPr>
          </w:p>
        </w:tc>
      </w:tr>
      <w:tr w:rsidR="00393648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30C3C4AA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AO3:  IDEAS, OBSERVATIONAL DRAWINGS &amp; EXPLANATIONS</w:t>
            </w:r>
          </w:p>
          <w:p w14:paraId="615C80A0" w14:textId="4EF8425F" w:rsidR="003737B5" w:rsidRDefault="003737B5" w:rsidP="003737B5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i/>
                <w:iCs/>
                <w:sz w:val="24"/>
                <w:szCs w:val="24"/>
                <w:lang w:val="en-US"/>
              </w:rPr>
              <w:t>Record ideas, observations and insights</w:t>
            </w:r>
            <w:r w:rsidRPr="003737B5">
              <w:rPr>
                <w:sz w:val="24"/>
                <w:szCs w:val="24"/>
                <w:lang w:val="en-US"/>
              </w:rPr>
              <w:t xml:space="preserve"> relevant to your intentions in visual and/or other forms.</w:t>
            </w:r>
          </w:p>
          <w:p w14:paraId="251718AB" w14:textId="1A307382" w:rsidR="00265C73" w:rsidRPr="003737B5" w:rsidRDefault="00265C73" w:rsidP="003737B5">
            <w:pPr>
              <w:rPr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  <w:shd w:val="clear" w:color="auto" w:fill="000000"/>
              </w:rPr>
              <w:t>Record ideas, observations and insights relevant to intentions, reflecting critically on work and progress.</w:t>
            </w:r>
          </w:p>
          <w:p w14:paraId="7800B430" w14:textId="2FD8F1DF" w:rsidR="00393648" w:rsidRPr="00B245FA" w:rsidRDefault="00393648" w:rsidP="00393648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393648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393648" w:rsidRPr="00B245FA" w:rsidRDefault="00393648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4</w:t>
            </w:r>
          </w:p>
        </w:tc>
        <w:tc>
          <w:tcPr>
            <w:tcW w:w="8066" w:type="dxa"/>
            <w:gridSpan w:val="4"/>
          </w:tcPr>
          <w:p w14:paraId="44838DC3" w14:textId="77777777" w:rsidR="003737B5" w:rsidRPr="003737B5" w:rsidRDefault="003737B5" w:rsidP="003737B5">
            <w:pPr>
              <w:rPr>
                <w:sz w:val="24"/>
                <w:szCs w:val="24"/>
              </w:rPr>
            </w:pPr>
            <w:r w:rsidRPr="003737B5">
              <w:rPr>
                <w:sz w:val="24"/>
                <w:szCs w:val="24"/>
                <w:lang w:val="en-US"/>
              </w:rPr>
              <w:t>AO4:  FINAL IDEA &amp; FINAL PIECE, LINKS WITH ARTISTS</w:t>
            </w:r>
          </w:p>
          <w:p w14:paraId="1B6DD4B1" w14:textId="5D005E99" w:rsidR="00393648" w:rsidRPr="00265C73" w:rsidRDefault="003737B5" w:rsidP="00393648">
            <w:pPr>
              <w:rPr>
                <w:sz w:val="24"/>
                <w:szCs w:val="24"/>
                <w:lang w:val="en-US"/>
              </w:rPr>
            </w:pPr>
            <w:r w:rsidRPr="003737B5">
              <w:rPr>
                <w:sz w:val="24"/>
                <w:szCs w:val="24"/>
                <w:lang w:val="en-US"/>
              </w:rPr>
              <w:t xml:space="preserve">Present a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personal, informed and meaningful response</w:t>
            </w:r>
            <w:r w:rsidRPr="003737B5">
              <w:rPr>
                <w:sz w:val="24"/>
                <w:szCs w:val="24"/>
                <w:lang w:val="en-US"/>
              </w:rPr>
              <w:t xml:space="preserve"> demonstrating analytical and critical understanding, </w:t>
            </w:r>
            <w:proofErr w:type="spellStart"/>
            <w:r w:rsidRPr="003737B5">
              <w:rPr>
                <w:i/>
                <w:iCs/>
                <w:sz w:val="24"/>
                <w:szCs w:val="24"/>
                <w:lang w:val="en-US"/>
              </w:rPr>
              <w:t>realising</w:t>
            </w:r>
            <w:proofErr w:type="spellEnd"/>
            <w:r w:rsidRPr="003737B5">
              <w:rPr>
                <w:i/>
                <w:iCs/>
                <w:sz w:val="24"/>
                <w:szCs w:val="24"/>
                <w:lang w:val="en-US"/>
              </w:rPr>
              <w:t xml:space="preserve"> intentions</w:t>
            </w:r>
            <w:r w:rsidRPr="003737B5">
              <w:rPr>
                <w:sz w:val="24"/>
                <w:szCs w:val="24"/>
                <w:lang w:val="en-US"/>
              </w:rPr>
              <w:t xml:space="preserve"> and </w:t>
            </w:r>
            <w:r w:rsidRPr="003737B5">
              <w:rPr>
                <w:i/>
                <w:iCs/>
                <w:sz w:val="24"/>
                <w:szCs w:val="24"/>
                <w:lang w:val="en-US"/>
              </w:rPr>
              <w:t>making connections</w:t>
            </w:r>
            <w:r w:rsidRPr="003737B5">
              <w:rPr>
                <w:sz w:val="24"/>
                <w:szCs w:val="24"/>
                <w:lang w:val="en-US"/>
              </w:rPr>
              <w:t xml:space="preserve"> between visual or other elements</w:t>
            </w:r>
            <w:r w:rsidR="00265C73">
              <w:rPr>
                <w:sz w:val="24"/>
                <w:szCs w:val="24"/>
                <w:lang w:val="en-US"/>
              </w:rPr>
              <w:t>.</w:t>
            </w:r>
          </w:p>
        </w:tc>
      </w:tr>
      <w:tr w:rsidR="00265C73" w:rsidRPr="00B245FA" w14:paraId="457EF1AB" w14:textId="77777777" w:rsidTr="00B245FA">
        <w:trPr>
          <w:trHeight w:val="537"/>
        </w:trPr>
        <w:tc>
          <w:tcPr>
            <w:tcW w:w="1001" w:type="dxa"/>
          </w:tcPr>
          <w:p w14:paraId="67BCD2F0" w14:textId="320A0B15" w:rsidR="00265C73" w:rsidRPr="00B245FA" w:rsidRDefault="00265C73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5430D8D8" w14:textId="77777777" w:rsidR="00265C73" w:rsidRDefault="00265C73" w:rsidP="003737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Art Gallery visit. Draw from an original source, reflect on the art and </w:t>
            </w:r>
            <w:r w:rsidRPr="00265C73">
              <w:rPr>
                <w:sz w:val="24"/>
                <w:szCs w:val="24"/>
                <w:lang w:val="en-US"/>
              </w:rPr>
              <w:t>create</w:t>
            </w:r>
            <w:r>
              <w:rPr>
                <w:sz w:val="24"/>
                <w:szCs w:val="24"/>
                <w:lang w:val="en-US"/>
              </w:rPr>
              <w:t xml:space="preserve"> an analytical and contextualization of the art work. </w:t>
            </w:r>
          </w:p>
          <w:p w14:paraId="51F52AFC" w14:textId="15C9168B" w:rsidR="00265C73" w:rsidRPr="003737B5" w:rsidRDefault="00265C73" w:rsidP="003737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Personal Investigation Essay, </w:t>
            </w:r>
            <w:proofErr w:type="gramStart"/>
            <w:r>
              <w:rPr>
                <w:sz w:val="24"/>
                <w:szCs w:val="24"/>
                <w:lang w:val="en-US"/>
              </w:rPr>
              <w:t>1000-3000 word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essay linked to your practical art work and a theme that is personal to you. </w:t>
            </w:r>
          </w:p>
        </w:tc>
      </w:tr>
      <w:tr w:rsidR="00265C73" w:rsidRPr="00B245FA" w14:paraId="7A07E594" w14:textId="77777777" w:rsidTr="00265C73">
        <w:trPr>
          <w:trHeight w:val="537"/>
        </w:trPr>
        <w:tc>
          <w:tcPr>
            <w:tcW w:w="1001" w:type="dxa"/>
          </w:tcPr>
          <w:p w14:paraId="4C6DA07D" w14:textId="723A0505" w:rsidR="00265C73" w:rsidRDefault="00265C73" w:rsidP="00393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shd w:val="clear" w:color="auto" w:fill="auto"/>
          </w:tcPr>
          <w:p w14:paraId="24B2CA4E" w14:textId="19B6DB03" w:rsidR="00265C73" w:rsidRPr="00265C73" w:rsidRDefault="00265C73" w:rsidP="003737B5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Personal Investigation Essay, </w:t>
            </w:r>
            <w:proofErr w:type="gramStart"/>
            <w:r>
              <w:rPr>
                <w:sz w:val="24"/>
                <w:szCs w:val="24"/>
                <w:lang w:val="en-US"/>
              </w:rPr>
              <w:t>1000-3000 word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essay linked to your practical art work and a theme that is personal to you.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406"/>
        <w:gridCol w:w="1462"/>
        <w:gridCol w:w="1406"/>
        <w:gridCol w:w="1813"/>
        <w:gridCol w:w="1466"/>
      </w:tblGrid>
      <w:tr w:rsidR="00B245FA" w:rsidRPr="00B245FA" w14:paraId="56E7C716" w14:textId="77777777" w:rsidTr="005A6310">
        <w:tc>
          <w:tcPr>
            <w:tcW w:w="1463" w:type="dxa"/>
          </w:tcPr>
          <w:p w14:paraId="3ED141E8" w14:textId="5209217B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Research</w:t>
            </w:r>
          </w:p>
        </w:tc>
        <w:tc>
          <w:tcPr>
            <w:tcW w:w="1406" w:type="dxa"/>
          </w:tcPr>
          <w:p w14:paraId="7CDA4861" w14:textId="01428801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</w:t>
            </w:r>
          </w:p>
        </w:tc>
        <w:tc>
          <w:tcPr>
            <w:tcW w:w="1462" w:type="dxa"/>
          </w:tcPr>
          <w:p w14:paraId="5D17AF0B" w14:textId="0F69A18C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Annotate</w:t>
            </w:r>
          </w:p>
        </w:tc>
        <w:tc>
          <w:tcPr>
            <w:tcW w:w="1406" w:type="dxa"/>
          </w:tcPr>
          <w:p w14:paraId="70A311EF" w14:textId="2FF79BB6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Design</w:t>
            </w:r>
          </w:p>
        </w:tc>
        <w:tc>
          <w:tcPr>
            <w:tcW w:w="1813" w:type="dxa"/>
          </w:tcPr>
          <w:p w14:paraId="3AF3EEF7" w14:textId="523B6D7D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Development</w:t>
            </w:r>
          </w:p>
        </w:tc>
        <w:tc>
          <w:tcPr>
            <w:tcW w:w="1466" w:type="dxa"/>
          </w:tcPr>
          <w:p w14:paraId="3B235E5C" w14:textId="091A7A5F" w:rsidR="00920585" w:rsidRPr="00B245FA" w:rsidRDefault="003478A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 of art</w:t>
            </w:r>
          </w:p>
        </w:tc>
      </w:tr>
    </w:tbl>
    <w:p w14:paraId="3666A089" w14:textId="77777777" w:rsidR="003737B5" w:rsidRDefault="003737B5">
      <w:pPr>
        <w:rPr>
          <w:rFonts w:ascii="Verdana" w:hAnsi="Verdana"/>
          <w:color w:val="002060"/>
          <w:sz w:val="24"/>
          <w:szCs w:val="24"/>
        </w:rPr>
      </w:pPr>
    </w:p>
    <w:p w14:paraId="5ECA3170" w14:textId="1559F05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50AA0C8E" w14:textId="77777777" w:rsidR="00B245FA" w:rsidRDefault="003478AB" w:rsidP="00393648">
            <w:pPr>
              <w:shd w:val="clear" w:color="auto" w:fill="FFFFFF"/>
              <w:spacing w:before="240" w:after="120"/>
              <w:outlineLvl w:val="3"/>
            </w:pPr>
            <w:r w:rsidRPr="003478AB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A6F8FDB" wp14:editId="3023A8F0">
                      <wp:simplePos x="0" y="0"/>
                      <wp:positionH relativeFrom="column">
                        <wp:posOffset>1442720</wp:posOffset>
                      </wp:positionH>
                      <wp:positionV relativeFrom="paragraph">
                        <wp:posOffset>241300</wp:posOffset>
                      </wp:positionV>
                      <wp:extent cx="4114800" cy="1404620"/>
                      <wp:effectExtent l="0" t="0" r="19050" b="241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148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5E9542" w14:textId="7BEBD7BD" w:rsidR="003478AB" w:rsidRDefault="003478AB">
                                  <w:r w:rsidRPr="003478AB">
                                    <w:t>Ways of Seeing, John Berger</w:t>
                                  </w:r>
                                </w:p>
                                <w:p w14:paraId="21C06660" w14:textId="7DD6337D" w:rsidR="003478AB" w:rsidRPr="003478AB" w:rsidRDefault="003478AB"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"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 The child looks and recognizes before it can speak. "But there is also another sense in which </w:t>
                                  </w:r>
                                  <w:r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color w:val="5F6368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seeing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4D5156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comes before words.</w:t>
                                  </w:r>
                                </w:p>
                                <w:p w14:paraId="0344EA11" w14:textId="082DE6A8" w:rsidR="003478AB" w:rsidRPr="003478AB" w:rsidRDefault="003478AB"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Now described as "revolutionary",</w:t>
                                  </w:r>
                                  <w:hyperlink r:id="rId6" w:anchor="cite_note-14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7"/>
                                        <w:szCs w:val="17"/>
                                        <w:u w:val="none"/>
                                        <w:shd w:val="clear" w:color="auto" w:fill="FFFFFF"/>
                                        <w:vertAlign w:val="superscript"/>
                                      </w:rPr>
                                      <w:t>[14]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the book has contributed to </w:t>
                                  </w:r>
                                  <w:hyperlink r:id="rId7" w:tooltip="Feminism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feminist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 readings of </w:t>
                                  </w:r>
                                  <w:hyperlink r:id="rId8" w:tooltip="Popular culture" w:history="1">
                                    <w:r w:rsidRPr="003478AB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21"/>
                                        <w:szCs w:val="21"/>
                                        <w:u w:val="none"/>
                                        <w:shd w:val="clear" w:color="auto" w:fill="FFFFFF"/>
                                      </w:rPr>
                                      <w:t>popular culture</w:t>
                                    </w:r>
                                  </w:hyperlink>
                                  <w:r w:rsidRPr="003478AB">
                                    <w:rPr>
                                      <w:rFonts w:ascii="Arial" w:hAnsi="Arial" w:cs="Arial"/>
                                      <w:sz w:val="21"/>
                                      <w:szCs w:val="21"/>
                                      <w:shd w:val="clear" w:color="auto" w:fill="FFFFFF"/>
                                    </w:rPr>
                                    <w:t>, through essays that focus particularly on how women are portrayed in advertisements and oil paintings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0A6F8F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3.6pt;margin-top:19pt;width:32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s1RJAIAAEcEAAAOAAAAZHJzL2Uyb0RvYy54bWysU9uO2yAQfa/Uf0C8N7YjZy9WnNU221SV&#10;tttKu/0AjHGMCgwFEjv9+g44m4227UtVHtDADIczZ2aWN6NWZC+cl2BqWsxySoTh0Eqzrem3p827&#10;K0p8YKZlCoyo6UF4erN6+2Y52ErMoQfVCkcQxPhqsDXtQ7BVlnneC838DKww6OzAaRbw6LZZ69iA&#10;6Fpl8zy/yAZwrXXAhfd4ezc56Srhd53g4UvXeRGIqilyC2l3aW/inq2WrNo6ZnvJjzTYP7DQTBr8&#10;9AR1xwIjOyd/g9KSO/DQhRkHnUHXSS5SDphNkb/K5rFnVqRcUBxvTzL5/wfLH/ZfHZFtTefFJSWG&#10;aSzSkxgDeQ8jmUd9BusrDHu0GBhGvMY6p1y9vQf+3RMD656Zrbh1DoZesBb5FfFldvZ0wvERpBk+&#10;Q4vfsF2ABDR2TkfxUA6C6Finw6k2kQrHy7IoyqscXRx9RZmXF/NUvYxVz8+t8+GjAE2iUVOHxU/w&#10;bH/vQ6TDqueQ+JsHJduNVCod3LZZK0f2DBtlk1bK4FWYMmSo6fVivpgU+CtEntafILQM2PFK6ppi&#10;PrhiEKuibh9Mm+zApJpspKzMUcio3aRiGJsRA6O6DbQHlNTB1Nk4iWj04H5SMmBX19T/2DEnKFGf&#10;DJbluijLOAbpUC4uUUPizj3NuYcZjlA1DZRM5jqk0UmC2Vss30YmYV+YHLlitya9j5MVx+H8nKJe&#10;5n/1CwAA//8DAFBLAwQUAAYACAAAACEAqJ0edd4AAAAKAQAADwAAAGRycy9kb3ducmV2LnhtbEyP&#10;wU7DMBBE70j8g7VIXCrqkCptGuJUUKknTg3l7sbbJCJeB9tt079nOcFxZ55mZ8rNZAdxQR96Rwqe&#10;5wkIpMaZnloFh4/dUw4iRE1GD45QwQ0DbKr7u1IXxl1pj5c6toJDKBRaQRfjWEgZmg6tDnM3IrF3&#10;ct7qyKdvpfH6yuF2kGmSLKXVPfGHTo+47bD5qs9WwfK7XszeP82M9rfdm29sZraHTKnHh+n1BUTE&#10;Kf7B8Fufq0PFnY7uTCaIQUGarlJGFSxy3sRAvspYOLKTrVOQVSn/T6h+AAAA//8DAFBLAQItABQA&#10;BgAIAAAAIQC2gziS/gAAAOEBAAATAAAAAAAAAAAAAAAAAAAAAABbQ29udGVudF9UeXBlc10ueG1s&#10;UEsBAi0AFAAGAAgAAAAhADj9If/WAAAAlAEAAAsAAAAAAAAAAAAAAAAALwEAAF9yZWxzLy5yZWxz&#10;UEsBAi0AFAAGAAgAAAAhAKCCzVEkAgAARwQAAA4AAAAAAAAAAAAAAAAALgIAAGRycy9lMm9Eb2Mu&#10;eG1sUEsBAi0AFAAGAAgAAAAhAKidHnXeAAAACgEAAA8AAAAAAAAAAAAAAAAAfgQAAGRycy9kb3du&#10;cmV2LnhtbFBLBQYAAAAABAAEAPMAAACJBQAAAAA=&#10;">
                      <v:textbox style="mso-fit-shape-to-text:t">
                        <w:txbxContent>
                          <w:p w14:paraId="7E5E9542" w14:textId="7BEBD7BD" w:rsidR="003478AB" w:rsidRDefault="003478AB">
                            <w:r w:rsidRPr="003478AB">
                              <w:t>Ways of Seeing, John Berger</w:t>
                            </w:r>
                          </w:p>
                          <w:p w14:paraId="21C06660" w14:textId="7DD6337D" w:rsidR="003478AB" w:rsidRPr="003478AB" w:rsidRDefault="003478AB"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"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 The child looks and recognizes before it can speak. "But there is also another sense in which </w:t>
                            </w:r>
                            <w:r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color w:val="5F6368"/>
                                <w:sz w:val="21"/>
                                <w:szCs w:val="21"/>
                                <w:shd w:val="clear" w:color="auto" w:fill="FFFFFF"/>
                              </w:rPr>
                              <w:t>seeing</w:t>
                            </w: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 comes before words.</w:t>
                            </w:r>
                          </w:p>
                          <w:p w14:paraId="0344EA11" w14:textId="082DE6A8" w:rsidR="003478AB" w:rsidRPr="003478AB" w:rsidRDefault="003478AB"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Now described as "revolutionary",</w:t>
                            </w:r>
                            <w:hyperlink r:id="rId9" w:anchor="cite_note-14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7"/>
                                  <w:szCs w:val="17"/>
                                  <w:u w:val="none"/>
                                  <w:shd w:val="clear" w:color="auto" w:fill="FFFFFF"/>
                                  <w:vertAlign w:val="superscript"/>
                                </w:rPr>
                                <w:t>[14]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the book has contributed to </w:t>
                            </w:r>
                            <w:hyperlink r:id="rId10" w:tooltip="Feminism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feminist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 readings of </w:t>
                            </w:r>
                            <w:hyperlink r:id="rId11" w:tooltip="Popular culture" w:history="1">
                              <w:r w:rsidRPr="003478AB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1"/>
                                  <w:szCs w:val="21"/>
                                  <w:u w:val="none"/>
                                  <w:shd w:val="clear" w:color="auto" w:fill="FFFFFF"/>
                                </w:rPr>
                                <w:t>popular culture</w:t>
                              </w:r>
                            </w:hyperlink>
                            <w:r w:rsidRPr="003478AB">
                              <w:rPr>
                                <w:rFonts w:ascii="Arial" w:hAnsi="Arial" w:cs="Arial"/>
                                <w:sz w:val="21"/>
                                <w:szCs w:val="21"/>
                                <w:shd w:val="clear" w:color="auto" w:fill="FFFFFF"/>
                              </w:rPr>
                              <w:t>, through essays that focus particularly on how women are portrayed in advertisements and oil paintings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6E139F2E" wp14:editId="6F1E4A2D">
                  <wp:extent cx="1103774" cy="1805940"/>
                  <wp:effectExtent l="0" t="0" r="1270" b="3810"/>
                  <wp:docPr id="1" name="Picture 1" descr="Ways of Seeing: John Berger (Penguin Modern Classics): Amazon.co.uk:  Berger, John: 9780141035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ys of Seeing: John Berger (Penguin Modern Classics): Amazon.co.uk:  Berger, John: 9780141035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594" cy="181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5EB3EEA5" w14:textId="77777777" w:rsidR="00265C73" w:rsidRDefault="00265C73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lang w:eastAsia="en-GB"/>
              </w:rPr>
            </w:pPr>
          </w:p>
          <w:p w14:paraId="0551F494" w14:textId="77777777" w:rsidR="00265C73" w:rsidRDefault="00265C73" w:rsidP="00265C73">
            <w:pPr>
              <w:pStyle w:val="Heading1"/>
              <w:shd w:val="clear" w:color="auto" w:fill="000000"/>
              <w:spacing w:before="0" w:line="1050" w:lineRule="atLeast"/>
              <w:jc w:val="center"/>
              <w:rPr>
                <w:rFonts w:ascii="gmgj" w:hAnsi="gmgj" w:cs="Arial"/>
                <w:color w:val="4AACEE"/>
                <w:sz w:val="90"/>
                <w:szCs w:val="90"/>
              </w:rPr>
            </w:pPr>
            <w:r>
              <w:rPr>
                <w:rFonts w:ascii="gmgj" w:hAnsi="gmgj" w:cs="Arial"/>
                <w:b/>
                <w:bCs/>
                <w:color w:val="4AACEE"/>
                <w:sz w:val="90"/>
                <w:szCs w:val="90"/>
              </w:rPr>
              <w:t>Useful Links</w:t>
            </w:r>
          </w:p>
          <w:p w14:paraId="342072A9" w14:textId="77777777" w:rsidR="00265C73" w:rsidRDefault="00265C73" w:rsidP="00265C73">
            <w:pPr>
              <w:shd w:val="clear" w:color="auto" w:fill="000000"/>
              <w:spacing w:line="300" w:lineRule="atLeast"/>
              <w:rPr>
                <w:rFonts w:ascii="Tahoma" w:hAnsi="Tahoma" w:cs="Tahoma"/>
                <w:color w:val="FFFFFF"/>
                <w:sz w:val="24"/>
                <w:szCs w:val="24"/>
              </w:rPr>
            </w:pPr>
            <w:r>
              <w:rPr>
                <w:rFonts w:ascii="Tahoma" w:hAnsi="Tahoma" w:cs="Tahoma"/>
                <w:color w:val="FFFFFF"/>
              </w:rPr>
              <w:t>     </w:t>
            </w:r>
          </w:p>
          <w:p w14:paraId="5BDB8D44" w14:textId="77777777" w:rsidR="00265C73" w:rsidRDefault="00265C73" w:rsidP="00265C73">
            <w:pPr>
              <w:shd w:val="clear" w:color="auto" w:fill="000000"/>
              <w:spacing w:line="300" w:lineRule="atLeast"/>
              <w:rPr>
                <w:rFonts w:ascii="Tahoma" w:hAnsi="Tahoma" w:cs="Tahoma"/>
                <w:color w:val="FFFFFF"/>
              </w:rPr>
            </w:pPr>
            <w:r>
              <w:rPr>
                <w:rStyle w:val="bold"/>
                <w:rFonts w:ascii="Tahoma" w:hAnsi="Tahoma" w:cs="Tahoma"/>
                <w:b/>
                <w:bCs/>
                <w:color w:val="FFFFFF"/>
              </w:rPr>
              <w:t>Student Art Guide </w:t>
            </w:r>
            <w:r>
              <w:rPr>
                <w:rFonts w:ascii="Tahoma" w:hAnsi="Tahoma" w:cs="Tahoma"/>
                <w:color w:val="FFFFFF"/>
              </w:rPr>
              <w:t>- sketchbook ideas</w:t>
            </w:r>
          </w:p>
          <w:p w14:paraId="10C75BAC" w14:textId="77777777" w:rsidR="00265C73" w:rsidRDefault="00265C73" w:rsidP="00265C73">
            <w:pPr>
              <w:shd w:val="clear" w:color="auto" w:fill="00000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hyperlink r:id="rId13" w:tgtFrame="_blank" w:history="1">
              <w:r>
                <w:rPr>
                  <w:rStyle w:val="Hyperlink"/>
                  <w:rFonts w:ascii="Arial" w:hAnsi="Arial" w:cs="Arial"/>
                  <w:b/>
                  <w:bCs/>
                  <w:color w:val="FFFFFF"/>
                  <w:sz w:val="21"/>
                  <w:szCs w:val="21"/>
                  <w:u w:val="none"/>
                </w:rPr>
                <w:t>Go to StudentArtGuide.com...</w:t>
              </w:r>
            </w:hyperlink>
          </w:p>
          <w:p w14:paraId="4B149386" w14:textId="77777777" w:rsidR="00265C73" w:rsidRDefault="00265C73" w:rsidP="00265C73">
            <w:pPr>
              <w:shd w:val="clear" w:color="auto" w:fill="000000"/>
              <w:spacing w:line="300" w:lineRule="atLeast"/>
              <w:rPr>
                <w:rFonts w:ascii="Tahoma" w:hAnsi="Tahoma" w:cs="Tahoma"/>
                <w:color w:val="FFFFFF"/>
                <w:sz w:val="24"/>
                <w:szCs w:val="24"/>
              </w:rPr>
            </w:pPr>
            <w:r>
              <w:rPr>
                <w:rStyle w:val="bold"/>
                <w:rFonts w:ascii="Tahoma" w:hAnsi="Tahoma" w:cs="Tahoma"/>
                <w:b/>
                <w:bCs/>
                <w:color w:val="FFFFFF"/>
              </w:rPr>
              <w:t>Quick Poses</w:t>
            </w:r>
            <w:r>
              <w:rPr>
                <w:rFonts w:ascii="Tahoma" w:hAnsi="Tahoma" w:cs="Tahoma"/>
                <w:color w:val="FFFFFF"/>
              </w:rPr>
              <w:t> - free image library and gesture drawing tool for artists</w:t>
            </w:r>
          </w:p>
          <w:p w14:paraId="6F6C64CD" w14:textId="77777777" w:rsidR="00265C73" w:rsidRDefault="00265C73" w:rsidP="00265C73">
            <w:pPr>
              <w:shd w:val="clear" w:color="auto" w:fill="000000"/>
              <w:jc w:val="center"/>
              <w:rPr>
                <w:rFonts w:ascii="Arial" w:hAnsi="Arial" w:cs="Arial"/>
                <w:color w:val="000000"/>
                <w:sz w:val="27"/>
                <w:szCs w:val="27"/>
              </w:rPr>
            </w:pPr>
            <w:hyperlink r:id="rId14" w:tgtFrame="_blank" w:history="1">
              <w:r>
                <w:rPr>
                  <w:rStyle w:val="Hyperlink"/>
                  <w:rFonts w:ascii="Arial" w:hAnsi="Arial" w:cs="Arial"/>
                  <w:b/>
                  <w:bCs/>
                  <w:color w:val="FFFFFF"/>
                  <w:sz w:val="21"/>
                  <w:szCs w:val="21"/>
                  <w:u w:val="none"/>
                  <w:bdr w:val="single" w:sz="6" w:space="0" w:color="4AACEE" w:frame="1"/>
                </w:rPr>
                <w:t>Go to QuickPoses.com...</w:t>
              </w:r>
            </w:hyperlink>
          </w:p>
          <w:p w14:paraId="0FCCE8DD" w14:textId="26B090E8" w:rsidR="00265C73" w:rsidRPr="00B245FA" w:rsidRDefault="00265C73" w:rsidP="00393648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7877593D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mgj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42144"/>
    <w:multiLevelType w:val="hybridMultilevel"/>
    <w:tmpl w:val="D1B6E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33D22"/>
    <w:multiLevelType w:val="hybridMultilevel"/>
    <w:tmpl w:val="2A44E378"/>
    <w:lvl w:ilvl="0" w:tplc="41749196">
      <w:start w:val="1"/>
      <w:numFmt w:val="bullet"/>
      <w:lvlText w:val=""/>
      <w:lvlJc w:val="left"/>
      <w:pPr>
        <w:ind w:left="340" w:hanging="34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65C73"/>
    <w:rsid w:val="003478AB"/>
    <w:rsid w:val="003737B5"/>
    <w:rsid w:val="00393648"/>
    <w:rsid w:val="00455F38"/>
    <w:rsid w:val="00586F6C"/>
    <w:rsid w:val="005A6310"/>
    <w:rsid w:val="005C2ADA"/>
    <w:rsid w:val="007E5C02"/>
    <w:rsid w:val="00813D3E"/>
    <w:rsid w:val="0082039C"/>
    <w:rsid w:val="008D477B"/>
    <w:rsid w:val="008F6C26"/>
    <w:rsid w:val="00920585"/>
    <w:rsid w:val="009352F5"/>
    <w:rsid w:val="009C0895"/>
    <w:rsid w:val="009D0BFB"/>
    <w:rsid w:val="00AD03F7"/>
    <w:rsid w:val="00AF4C1A"/>
    <w:rsid w:val="00B245FA"/>
    <w:rsid w:val="00B61F75"/>
    <w:rsid w:val="00C96B26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5C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3478A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3478AB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265C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ld">
    <w:name w:val="bold"/>
    <w:basedOn w:val="DefaultParagraphFont"/>
    <w:rsid w:val="00265C73"/>
  </w:style>
  <w:style w:type="character" w:customStyle="1" w:styleId="texteditor-inline-color">
    <w:name w:val="texteditor-inline-color"/>
    <w:basedOn w:val="DefaultParagraphFont"/>
    <w:rsid w:val="00265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98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07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06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384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69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433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649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880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0610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51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1612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53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48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882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309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328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1785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6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Popular_culture" TargetMode="External"/><Relationship Id="rId13" Type="http://schemas.openxmlformats.org/officeDocument/2006/relationships/hyperlink" Target="https://www.studentartguide.com/articles/art-sketchbook-ideas" TargetMode="External"/><Relationship Id="rId3" Type="http://schemas.openxmlformats.org/officeDocument/2006/relationships/styles" Target="styles.xml"/><Relationship Id="rId7" Type="http://schemas.openxmlformats.org/officeDocument/2006/relationships/hyperlink" Target="https://en.wikipedia.org/wiki/Feminism" TargetMode="Externa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en.wikipedia.org/wiki/Ways_of_Seeing" TargetMode="External"/><Relationship Id="rId11" Type="http://schemas.openxmlformats.org/officeDocument/2006/relationships/hyperlink" Target="https://en.wikipedia.org/wiki/Popular_cultur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n.wikipedia.org/wiki/Feminis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Ways_of_Seeing" TargetMode="External"/><Relationship Id="rId14" Type="http://schemas.openxmlformats.org/officeDocument/2006/relationships/hyperlink" Target="https://quickposes.com/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9A903-8155-4705-9985-3E9C24107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2025-09-23T12:33:00Z</dcterms:created>
  <dcterms:modified xsi:type="dcterms:W3CDTF">2025-09-23T12:51:00Z</dcterms:modified>
</cp:coreProperties>
</file>