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FEB8B8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5A6310">
              <w:rPr>
                <w:rFonts w:ascii="Verdana" w:hAnsi="Verdana"/>
                <w:b/>
                <w:bCs/>
                <w:sz w:val="24"/>
                <w:szCs w:val="24"/>
              </w:rPr>
              <w:t xml:space="preserve"> Post 16, Deepening Art, Year 2</w:t>
            </w:r>
          </w:p>
        </w:tc>
        <w:tc>
          <w:tcPr>
            <w:tcW w:w="2956" w:type="dxa"/>
          </w:tcPr>
          <w:p w14:paraId="181E5C95" w14:textId="68A0868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93648">
              <w:rPr>
                <w:rFonts w:ascii="Verdana" w:hAnsi="Verdana"/>
                <w:b/>
                <w:bCs/>
                <w:sz w:val="24"/>
                <w:szCs w:val="24"/>
              </w:rPr>
              <w:t xml:space="preserve"> Art</w:t>
            </w:r>
            <w:r w:rsidR="003478AB">
              <w:rPr>
                <w:rFonts w:ascii="Verdana" w:hAnsi="Verdana"/>
                <w:b/>
                <w:bCs/>
                <w:sz w:val="24"/>
                <w:szCs w:val="24"/>
              </w:rPr>
              <w:t xml:space="preserve"> and Design GCSE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1AF7D0B" w:rsidR="00B245FA" w:rsidRPr="00B245FA" w:rsidRDefault="00813D3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Molly Meyrick</w:t>
            </w:r>
          </w:p>
        </w:tc>
      </w:tr>
      <w:tr w:rsidR="00B245FA" w:rsidRPr="00B245FA" w14:paraId="0B0B2711" w14:textId="77777777" w:rsidTr="005A6310">
        <w:trPr>
          <w:trHeight w:val="677"/>
        </w:trPr>
        <w:tc>
          <w:tcPr>
            <w:tcW w:w="9067" w:type="dxa"/>
            <w:gridSpan w:val="5"/>
          </w:tcPr>
          <w:p w14:paraId="151CC055" w14:textId="532EDC8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Deepening KS4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49F145" w14:textId="77777777" w:rsidR="005A6310" w:rsidRPr="005A6310" w:rsidRDefault="00B245FA" w:rsidP="005A6310">
            <w:pPr>
              <w:rPr>
                <w:rFonts w:ascii="Open Sans" w:hAnsi="Open Sans" w:cs="Open Sans"/>
                <w:lang w:val="en-US"/>
              </w:rPr>
            </w:pPr>
            <w:r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1 focus</w:t>
            </w:r>
            <w:r w:rsidR="00393648"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5A6310" w:rsidRPr="005A6310">
              <w:rPr>
                <w:rFonts w:ascii="Open Sans" w:hAnsi="Open Sans" w:cs="Open Sans"/>
                <w:lang w:val="en-US"/>
              </w:rPr>
              <w:t xml:space="preserve"> </w:t>
            </w:r>
          </w:p>
          <w:p w14:paraId="0BA4DC3C" w14:textId="43F5BC69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 xml:space="preserve">In this phase students move increasingly from dependence to independence as they work on a self-selected starting point for a sustained project. The project could be devised by the school, modelled on previous externally set assignment papers or use actual past starting points drawn from previous </w:t>
            </w:r>
            <w:r>
              <w:rPr>
                <w:rFonts w:ascii="Open Sans" w:hAnsi="Open Sans" w:cs="Open Sans"/>
                <w:lang w:val="en-US"/>
              </w:rPr>
              <w:t>e</w:t>
            </w:r>
            <w:r w:rsidRPr="002122B6">
              <w:rPr>
                <w:rFonts w:ascii="Open Sans" w:hAnsi="Open Sans" w:cs="Open Sans"/>
                <w:lang w:val="en-US"/>
              </w:rPr>
              <w:t>xternally set assignment papers. Suggested starting points could include:</w:t>
            </w:r>
          </w:p>
          <w:p w14:paraId="67B03303" w14:textId="77777777" w:rsidR="005A6310" w:rsidRPr="002122B6" w:rsidRDefault="005A6310" w:rsidP="005A6310">
            <w:pPr>
              <w:pStyle w:val="ListParagraph"/>
              <w:numPr>
                <w:ilvl w:val="1"/>
                <w:numId w:val="3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</w:rPr>
              <w:t>human condition</w:t>
            </w:r>
          </w:p>
          <w:p w14:paraId="6DA1D7E6" w14:textId="77777777" w:rsidR="005A6310" w:rsidRPr="002122B6" w:rsidRDefault="005A6310" w:rsidP="005A6310">
            <w:pPr>
              <w:pStyle w:val="ListParagraph"/>
              <w:numPr>
                <w:ilvl w:val="1"/>
                <w:numId w:val="3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</w:rPr>
              <w:t>our world</w:t>
            </w:r>
          </w:p>
          <w:p w14:paraId="74E47C47" w14:textId="77777777" w:rsidR="005A6310" w:rsidRPr="002122B6" w:rsidRDefault="005A6310" w:rsidP="005A6310">
            <w:pPr>
              <w:pStyle w:val="ListParagraph"/>
              <w:numPr>
                <w:ilvl w:val="1"/>
                <w:numId w:val="3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</w:rPr>
              <w:t>layers</w:t>
            </w:r>
          </w:p>
          <w:p w14:paraId="7C809505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independently research potential additional sources and associated references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6BE1C9F0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explicitly evidence coverage of all four assessment objectives, including drawing for different purposes and needs and written annotation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500CF665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choose from a variety of appropriate approaches. They need to employ one or more of the areas of study listed in the Fine art title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1C55646C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  <w:lang w:val="en-US"/>
              </w:rPr>
              <w:t>The Sustained project should allow students to move from a position of dependence to one of increasing independence as the journey of exploration progresses.</w:t>
            </w:r>
          </w:p>
          <w:p w14:paraId="45E674C4" w14:textId="4EA18E5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9364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4C370D4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AO1:  RESEARCH – IMAGES &amp; ARTISTS</w:t>
            </w:r>
          </w:p>
          <w:p w14:paraId="38CC6A81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Develop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investigations informed by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contextual and other sources,</w:t>
            </w:r>
            <w:r w:rsidRPr="003737B5">
              <w:rPr>
                <w:sz w:val="24"/>
                <w:szCs w:val="24"/>
                <w:lang w:val="en-US"/>
              </w:rPr>
              <w:t xml:space="preserve"> demonstrating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analytical and cultural understanding</w:t>
            </w:r>
            <w:r w:rsidRPr="003737B5">
              <w:rPr>
                <w:sz w:val="24"/>
                <w:szCs w:val="24"/>
                <w:lang w:val="en-US"/>
              </w:rPr>
              <w:t>.</w:t>
            </w:r>
          </w:p>
          <w:p w14:paraId="2FE3143D" w14:textId="0FC3C75A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33E7868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AO2:  EXPERIMENTS WITH MEDIA</w:t>
            </w:r>
          </w:p>
          <w:p w14:paraId="4E9DF6B0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Refine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experimenting and selecting</w:t>
            </w:r>
            <w:r w:rsidRPr="003737B5">
              <w:rPr>
                <w:sz w:val="24"/>
                <w:szCs w:val="24"/>
                <w:lang w:val="en-US"/>
              </w:rPr>
              <w:t xml:space="preserve"> appropriate resources, media, materials,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techniques and processes.</w:t>
            </w:r>
          </w:p>
          <w:p w14:paraId="5884A6B9" w14:textId="787BDF9D" w:rsidR="00393648" w:rsidRPr="00393648" w:rsidRDefault="00393648" w:rsidP="00393648">
            <w:pPr>
              <w:rPr>
                <w:sz w:val="24"/>
                <w:szCs w:val="24"/>
              </w:rPr>
            </w:pPr>
          </w:p>
        </w:tc>
      </w:tr>
      <w:tr w:rsidR="0039364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0C3C4AA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AO3:  IDEAS, OBSERVATIONAL DRAWINGS &amp; EXPLANATIONS</w:t>
            </w:r>
          </w:p>
          <w:p w14:paraId="615C80A0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Record ideas, observations and insights</w:t>
            </w:r>
            <w:r w:rsidRPr="003737B5">
              <w:rPr>
                <w:sz w:val="24"/>
                <w:szCs w:val="24"/>
                <w:lang w:val="en-US"/>
              </w:rPr>
              <w:t xml:space="preserve"> relevant to your intentions in visual and/or other forms.</w:t>
            </w:r>
          </w:p>
          <w:p w14:paraId="7800B430" w14:textId="2FD8F1DF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4838DC3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AO4:  FINAL IDEA &amp; FINAL PIECE, LINKS WITH ARTISTS</w:t>
            </w:r>
          </w:p>
          <w:p w14:paraId="05E240BE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 xml:space="preserve">Present a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personal, informed and meaningful response</w:t>
            </w:r>
            <w:r w:rsidRPr="003737B5">
              <w:rPr>
                <w:sz w:val="24"/>
                <w:szCs w:val="24"/>
                <w:lang w:val="en-US"/>
              </w:rPr>
              <w:t xml:space="preserve"> demonstrating analytical and critical understanding,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realising intentions</w:t>
            </w:r>
            <w:r w:rsidRPr="003737B5">
              <w:rPr>
                <w:sz w:val="24"/>
                <w:szCs w:val="24"/>
                <w:lang w:val="en-US"/>
              </w:rPr>
              <w:t xml:space="preserve"> and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making connections</w:t>
            </w:r>
            <w:r w:rsidRPr="003737B5">
              <w:rPr>
                <w:sz w:val="24"/>
                <w:szCs w:val="24"/>
                <w:lang w:val="en-US"/>
              </w:rPr>
              <w:t xml:space="preserve"> between visual or other elements.</w:t>
            </w:r>
          </w:p>
          <w:p w14:paraId="1B6DD4B1" w14:textId="39491A52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406"/>
        <w:gridCol w:w="1462"/>
        <w:gridCol w:w="1406"/>
        <w:gridCol w:w="1813"/>
        <w:gridCol w:w="1466"/>
      </w:tblGrid>
      <w:tr w:rsidR="00B245FA" w:rsidRPr="00B245FA" w14:paraId="56E7C716" w14:textId="77777777" w:rsidTr="005A6310">
        <w:tc>
          <w:tcPr>
            <w:tcW w:w="1463" w:type="dxa"/>
          </w:tcPr>
          <w:p w14:paraId="3ED141E8" w14:textId="5209217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  <w:tc>
          <w:tcPr>
            <w:tcW w:w="1406" w:type="dxa"/>
          </w:tcPr>
          <w:p w14:paraId="7CDA4861" w14:textId="01428801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462" w:type="dxa"/>
          </w:tcPr>
          <w:p w14:paraId="5D17AF0B" w14:textId="0F69A18C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Annotate</w:t>
            </w:r>
          </w:p>
        </w:tc>
        <w:tc>
          <w:tcPr>
            <w:tcW w:w="1406" w:type="dxa"/>
          </w:tcPr>
          <w:p w14:paraId="70A311EF" w14:textId="2FF79BB6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813" w:type="dxa"/>
          </w:tcPr>
          <w:p w14:paraId="3AF3EEF7" w14:textId="523B6D7D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</w:tc>
        <w:tc>
          <w:tcPr>
            <w:tcW w:w="1466" w:type="dxa"/>
          </w:tcPr>
          <w:p w14:paraId="3B235E5C" w14:textId="091A7A5F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 of art</w:t>
            </w:r>
          </w:p>
        </w:tc>
      </w:tr>
    </w:tbl>
    <w:p w14:paraId="3666A089" w14:textId="77777777" w:rsidR="003737B5" w:rsidRDefault="003737B5">
      <w:pPr>
        <w:rPr>
          <w:rFonts w:ascii="Verdana" w:hAnsi="Verdana"/>
          <w:color w:val="002060"/>
          <w:sz w:val="24"/>
          <w:szCs w:val="24"/>
        </w:rPr>
      </w:pPr>
    </w:p>
    <w:p w14:paraId="5ECA3170" w14:textId="1559F05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41E55017" w:rsidR="00B245FA" w:rsidRPr="00B245FA" w:rsidRDefault="003478AB" w:rsidP="0039364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3478AB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A6F8FDB" wp14:editId="3023A8F0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241300</wp:posOffset>
                      </wp:positionV>
                      <wp:extent cx="4114800" cy="1404620"/>
                      <wp:effectExtent l="0" t="0" r="19050" b="241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5E9542" w14:textId="7BEBD7BD" w:rsidR="003478AB" w:rsidRDefault="003478AB">
                                  <w:r w:rsidRPr="003478AB">
                                    <w:t>Ways of Seeing, John Berger</w:t>
                                  </w:r>
                                </w:p>
                                <w:p w14:paraId="21C06660" w14:textId="7DD6337D" w:rsidR="003478AB" w:rsidRPr="003478AB" w:rsidRDefault="003478AB"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"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 The child looks and recognizes before it can speak. "But there is also another sense in which 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</w:t>
                                  </w:r>
                                </w:p>
                                <w:p w14:paraId="0344EA11" w14:textId="082DE6A8" w:rsidR="003478AB" w:rsidRPr="003478AB" w:rsidRDefault="003478AB"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Now described as "revolutionary",</w:t>
                                  </w:r>
                                  <w:hyperlink r:id="rId6" w:anchor="cite_note-14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7"/>
                                        <w:szCs w:val="17"/>
                                        <w:u w:val="none"/>
                                        <w:shd w:val="clear" w:color="auto" w:fill="FFFFFF"/>
                                        <w:vertAlign w:val="superscript"/>
                                      </w:rPr>
                                      <w:t>[14]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the book has contributed to </w:t>
                                  </w:r>
                                  <w:hyperlink r:id="rId7" w:tooltip="Feminism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feminist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readings of </w:t>
                                  </w:r>
                                  <w:hyperlink r:id="rId8" w:tooltip="Popular culture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popular culture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, through essays that focus particularly on how women are portrayed in advertisements and oil paintings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A6F8F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3.6pt;margin-top:19pt;width:32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">
                      <v:textbox style="mso-fit-shape-to-text:t">
                        <w:txbxContent>
                          <w:p w14:paraId="7E5E9542" w14:textId="7BEBD7BD" w:rsidR="003478AB" w:rsidRDefault="003478AB">
                            <w:r w:rsidRPr="003478AB">
                              <w:t>Ways of Seeing, John Berger</w:t>
                            </w:r>
                          </w:p>
                          <w:p w14:paraId="21C06660" w14:textId="7DD6337D" w:rsidR="003478AB" w:rsidRPr="003478AB" w:rsidRDefault="003478AB"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"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 The child looks and recognizes before it can speak. "But there is also another sense in which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</w:t>
                            </w:r>
                          </w:p>
                          <w:p w14:paraId="0344EA11" w14:textId="082DE6A8" w:rsidR="003478AB" w:rsidRPr="003478AB" w:rsidRDefault="003478AB"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Now described as "revolutionary",</w:t>
                            </w:r>
                            <w:hyperlink r:id="rId9" w:anchor="cite_note-14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7"/>
                                  <w:szCs w:val="17"/>
                                  <w:u w:val="none"/>
                                  <w:shd w:val="clear" w:color="auto" w:fill="FFFFFF"/>
                                  <w:vertAlign w:val="superscript"/>
                                </w:rPr>
                                <w:t>[14]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the book has contributed to </w:t>
                            </w:r>
                            <w:hyperlink r:id="rId10" w:tooltip="Feminism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feminist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readings of </w:t>
                            </w:r>
                            <w:hyperlink r:id="rId11" w:tooltip="Popular culture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popular culture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, through essays that focus particularly on how women are portrayed in advertisements and oil paintings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E139F2E" wp14:editId="6F1E4A2D">
                  <wp:extent cx="1103774" cy="1805940"/>
                  <wp:effectExtent l="0" t="0" r="1270" b="3810"/>
                  <wp:docPr id="1" name="Picture 1" descr="Ways of Seeing: John Berger (Penguin Modern Classics): Amazon.co.uk:  Berger, John: 97801410357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ys of Seeing: John Berger (Penguin Modern Classics): Amazon.co.uk:  Berger, John: 97801410357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94" cy="181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14:paraId="1C76E45F" w14:textId="7877593D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42144"/>
    <w:multiLevelType w:val="hybridMultilevel"/>
    <w:tmpl w:val="D1B6E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33D22"/>
    <w:multiLevelType w:val="hybridMultilevel"/>
    <w:tmpl w:val="2A44E378"/>
    <w:lvl w:ilvl="0" w:tplc="41749196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478AB"/>
    <w:rsid w:val="003737B5"/>
    <w:rsid w:val="00393648"/>
    <w:rsid w:val="00455F38"/>
    <w:rsid w:val="005A6310"/>
    <w:rsid w:val="005C2ADA"/>
    <w:rsid w:val="007E5C02"/>
    <w:rsid w:val="00813D3E"/>
    <w:rsid w:val="0082039C"/>
    <w:rsid w:val="008D477B"/>
    <w:rsid w:val="008F6C26"/>
    <w:rsid w:val="00920585"/>
    <w:rsid w:val="009352F5"/>
    <w:rsid w:val="009C0895"/>
    <w:rsid w:val="009D0BFB"/>
    <w:rsid w:val="00AD03F7"/>
    <w:rsid w:val="00AF4C1A"/>
    <w:rsid w:val="00B245F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8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8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opular_cultur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n.wikipedia.org/wiki/Feminism" TargetMode="Externa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Ways_of_Seeing" TargetMode="External"/><Relationship Id="rId11" Type="http://schemas.openxmlformats.org/officeDocument/2006/relationships/hyperlink" Target="https://en.wikipedia.org/wiki/Popular_cultur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Feminis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Ways_of_See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A903-8155-4705-9985-3E9C24107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Molly Meyrick (Kenwood)</cp:lastModifiedBy>
  <cp:revision>4</cp:revision>
  <dcterms:created xsi:type="dcterms:W3CDTF">2024-10-03T12:33:00Z</dcterms:created>
  <dcterms:modified xsi:type="dcterms:W3CDTF">2025-09-04T14:56:00Z</dcterms:modified>
</cp:coreProperties>
</file>