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289" w:tblpY="-238"/>
        <w:tblW w:w="9634" w:type="dxa"/>
        <w:tblLook w:val="04A0" w:firstRow="1" w:lastRow="0" w:firstColumn="1" w:lastColumn="0" w:noHBand="0" w:noVBand="1"/>
      </w:tblPr>
      <w:tblGrid>
        <w:gridCol w:w="704"/>
        <w:gridCol w:w="998"/>
        <w:gridCol w:w="1417"/>
        <w:gridCol w:w="4111"/>
        <w:gridCol w:w="2404"/>
      </w:tblGrid>
      <w:tr w:rsidR="005E3195" w:rsidRPr="00B245FA" w14:paraId="2A9613FB" w14:textId="77777777" w:rsidTr="00F75102">
        <w:trPr>
          <w:trHeight w:val="557"/>
        </w:trPr>
        <w:tc>
          <w:tcPr>
            <w:tcW w:w="3119" w:type="dxa"/>
            <w:gridSpan w:val="3"/>
          </w:tcPr>
          <w:p w14:paraId="46D1B805" w14:textId="65A4A959" w:rsidR="005E3195" w:rsidRPr="00B245FA" w:rsidRDefault="005E3195" w:rsidP="00F7510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Group: BR A-Level</w:t>
            </w:r>
          </w:p>
        </w:tc>
        <w:tc>
          <w:tcPr>
            <w:tcW w:w="4111" w:type="dxa"/>
          </w:tcPr>
          <w:p w14:paraId="3C3338CD" w14:textId="061EA937" w:rsidR="005E3195" w:rsidRDefault="005E3195" w:rsidP="00F7510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Psychology </w:t>
            </w:r>
          </w:p>
        </w:tc>
        <w:tc>
          <w:tcPr>
            <w:tcW w:w="2404" w:type="dxa"/>
          </w:tcPr>
          <w:p w14:paraId="768D6CDB" w14:textId="0F4705C7" w:rsidR="005E3195" w:rsidRDefault="005E3195" w:rsidP="00F7510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9A026C" w:rsidRPr="00B245FA" w14:paraId="7527ACF5" w14:textId="77777777" w:rsidTr="00F75102">
        <w:trPr>
          <w:trHeight w:val="412"/>
        </w:trPr>
        <w:tc>
          <w:tcPr>
            <w:tcW w:w="1702" w:type="dxa"/>
            <w:gridSpan w:val="2"/>
          </w:tcPr>
          <w:p w14:paraId="58F603C4" w14:textId="77777777" w:rsidR="009A026C" w:rsidRPr="00B245FA" w:rsidRDefault="009A026C" w:rsidP="00F7510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932" w:type="dxa"/>
            <w:gridSpan w:val="3"/>
          </w:tcPr>
          <w:p w14:paraId="70FB5639" w14:textId="77777777" w:rsidR="009A026C" w:rsidRPr="00B245FA" w:rsidRDefault="009A026C" w:rsidP="00F7510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Hattie Allan</w:t>
            </w:r>
          </w:p>
        </w:tc>
      </w:tr>
      <w:tr w:rsidR="009A026C" w:rsidRPr="00B245FA" w14:paraId="77A9C769" w14:textId="77777777" w:rsidTr="00F75102">
        <w:trPr>
          <w:trHeight w:val="500"/>
        </w:trPr>
        <w:tc>
          <w:tcPr>
            <w:tcW w:w="9634" w:type="dxa"/>
            <w:gridSpan w:val="5"/>
          </w:tcPr>
          <w:p w14:paraId="0E2334B5" w14:textId="027C7493" w:rsidR="009A026C" w:rsidRPr="00B245FA" w:rsidRDefault="009A026C" w:rsidP="00F75102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7510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AQA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A-Level </w:t>
            </w:r>
            <w:r w:rsidR="008B363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–</w:t>
            </w:r>
            <w:r w:rsidR="00F7510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Y</w:t>
            </w:r>
            <w:r w:rsidR="008B363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ear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="00F7510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of 2</w:t>
            </w:r>
          </w:p>
        </w:tc>
      </w:tr>
      <w:tr w:rsidR="009A026C" w:rsidRPr="00B245FA" w14:paraId="7DCA51BA" w14:textId="77777777" w:rsidTr="00F75102">
        <w:trPr>
          <w:trHeight w:val="500"/>
        </w:trPr>
        <w:tc>
          <w:tcPr>
            <w:tcW w:w="9634" w:type="dxa"/>
            <w:gridSpan w:val="5"/>
          </w:tcPr>
          <w:p w14:paraId="4754082C" w14:textId="598F3F99" w:rsidR="009A026C" w:rsidRPr="00B245FA" w:rsidRDefault="009A026C" w:rsidP="00F75102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BE1B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‘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Biopsychology</w:t>
            </w:r>
            <w:r w:rsidR="00BE1B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’</w:t>
            </w:r>
            <w:r w:rsidR="00A235A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443D3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and </w:t>
            </w:r>
            <w:r w:rsidR="00BE1B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‘</w:t>
            </w:r>
            <w:r w:rsidR="00443D3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Gender</w:t>
            </w:r>
            <w:r w:rsidR="00BE1B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’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9A026C" w:rsidRPr="00B245FA" w14:paraId="6A0ABE90" w14:textId="77777777" w:rsidTr="00F75102">
        <w:trPr>
          <w:trHeight w:val="537"/>
        </w:trPr>
        <w:tc>
          <w:tcPr>
            <w:tcW w:w="704" w:type="dxa"/>
          </w:tcPr>
          <w:p w14:paraId="55AE534A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930" w:type="dxa"/>
            <w:gridSpan w:val="4"/>
          </w:tcPr>
          <w:p w14:paraId="1BBE2E81" w14:textId="50383C4C" w:rsidR="009A026C" w:rsidRPr="00B245FA" w:rsidRDefault="00A235A9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B</w:t>
            </w:r>
            <w:r w:rsidR="009A026C">
              <w:rPr>
                <w:rFonts w:ascii="Verdana" w:hAnsi="Verdana" w:cstheme="minorHAnsi"/>
                <w:color w:val="002060"/>
                <w:sz w:val="24"/>
                <w:szCs w:val="24"/>
              </w:rPr>
              <w:t>rain systems: Endocrine, neurons, synaptic transmission</w:t>
            </w:r>
          </w:p>
        </w:tc>
      </w:tr>
      <w:tr w:rsidR="009A026C" w:rsidRPr="00B245FA" w14:paraId="37F13AD5" w14:textId="77777777" w:rsidTr="00F75102">
        <w:trPr>
          <w:trHeight w:val="537"/>
        </w:trPr>
        <w:tc>
          <w:tcPr>
            <w:tcW w:w="704" w:type="dxa"/>
          </w:tcPr>
          <w:p w14:paraId="393D80E4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078677DC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930" w:type="dxa"/>
            <w:gridSpan w:val="4"/>
          </w:tcPr>
          <w:p w14:paraId="4CB0DBE8" w14:textId="7860650D" w:rsidR="009A026C" w:rsidRPr="00B245FA" w:rsidRDefault="00A235A9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L</w:t>
            </w:r>
            <w:r w:rsidR="009A026C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ocalisation of brain function inc. hemispheric lateralisation &amp; split-brain research. </w:t>
            </w:r>
          </w:p>
        </w:tc>
      </w:tr>
      <w:tr w:rsidR="009A026C" w:rsidRPr="00B245FA" w14:paraId="593DAA50" w14:textId="77777777" w:rsidTr="00F75102">
        <w:trPr>
          <w:trHeight w:val="537"/>
        </w:trPr>
        <w:tc>
          <w:tcPr>
            <w:tcW w:w="704" w:type="dxa"/>
          </w:tcPr>
          <w:p w14:paraId="3C6AD844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930" w:type="dxa"/>
            <w:gridSpan w:val="4"/>
          </w:tcPr>
          <w:p w14:paraId="69F78F34" w14:textId="205133F6" w:rsidR="009A026C" w:rsidRPr="00B245FA" w:rsidRDefault="00A235A9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ways of studying the brain</w:t>
            </w:r>
          </w:p>
        </w:tc>
      </w:tr>
      <w:tr w:rsidR="009A026C" w:rsidRPr="00B245FA" w14:paraId="37F9FC8A" w14:textId="77777777" w:rsidTr="00F75102">
        <w:trPr>
          <w:trHeight w:val="537"/>
        </w:trPr>
        <w:tc>
          <w:tcPr>
            <w:tcW w:w="704" w:type="dxa"/>
          </w:tcPr>
          <w:p w14:paraId="2DBB9289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930" w:type="dxa"/>
            <w:gridSpan w:val="4"/>
          </w:tcPr>
          <w:p w14:paraId="0FF15296" w14:textId="1E5C7EEE" w:rsidR="009A026C" w:rsidRPr="00B245FA" w:rsidRDefault="00A235A9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Understand plasticity and functional recovery </w:t>
            </w:r>
          </w:p>
        </w:tc>
      </w:tr>
      <w:tr w:rsidR="009A026C" w:rsidRPr="00B245FA" w14:paraId="025FEFD1" w14:textId="77777777" w:rsidTr="00F75102">
        <w:trPr>
          <w:trHeight w:val="537"/>
        </w:trPr>
        <w:tc>
          <w:tcPr>
            <w:tcW w:w="704" w:type="dxa"/>
          </w:tcPr>
          <w:p w14:paraId="0C5A0EE1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930" w:type="dxa"/>
            <w:gridSpan w:val="4"/>
          </w:tcPr>
          <w:p w14:paraId="75F991EC" w14:textId="42811317" w:rsidR="009A026C" w:rsidRPr="00B245FA" w:rsidRDefault="00A235A9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Biological Rhythms: Circadian, Infradian, Ultradian</w:t>
            </w:r>
          </w:p>
        </w:tc>
      </w:tr>
      <w:tr w:rsidR="009A026C" w:rsidRPr="00B245FA" w14:paraId="72C609C7" w14:textId="77777777" w:rsidTr="00F75102">
        <w:trPr>
          <w:trHeight w:val="537"/>
        </w:trPr>
        <w:tc>
          <w:tcPr>
            <w:tcW w:w="704" w:type="dxa"/>
          </w:tcPr>
          <w:p w14:paraId="357FD9C0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930" w:type="dxa"/>
            <w:gridSpan w:val="4"/>
          </w:tcPr>
          <w:p w14:paraId="04D176C5" w14:textId="172ADA44" w:rsidR="009A026C" w:rsidRPr="00B245FA" w:rsidRDefault="00A235A9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Understand endogenous pacemakers </w:t>
            </w:r>
          </w:p>
        </w:tc>
      </w:tr>
      <w:tr w:rsidR="009A026C" w:rsidRPr="00B245FA" w14:paraId="4F440D42" w14:textId="77777777" w:rsidTr="00F75102">
        <w:trPr>
          <w:trHeight w:val="537"/>
        </w:trPr>
        <w:tc>
          <w:tcPr>
            <w:tcW w:w="704" w:type="dxa"/>
          </w:tcPr>
          <w:p w14:paraId="3272098F" w14:textId="77777777" w:rsidR="009A026C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  <w:p w14:paraId="5BE58CF0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930" w:type="dxa"/>
            <w:gridSpan w:val="4"/>
          </w:tcPr>
          <w:p w14:paraId="105CB2CD" w14:textId="0F48E62C" w:rsidR="009A026C" w:rsidRPr="00B245FA" w:rsidRDefault="00A37E94" w:rsidP="00F75102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Sex vs. gender</w:t>
            </w:r>
            <w:r w:rsidR="00DA5DED">
              <w:rPr>
                <w:rFonts w:ascii="Verdana" w:hAnsi="Verdana" w:cstheme="minorHAnsi"/>
                <w:color w:val="002060"/>
              </w:rPr>
              <w:t xml:space="preserve">, </w:t>
            </w:r>
            <w:r>
              <w:rPr>
                <w:rFonts w:ascii="Verdana" w:hAnsi="Verdana" w:cstheme="minorHAnsi"/>
                <w:color w:val="002060"/>
              </w:rPr>
              <w:t>androgyny</w:t>
            </w:r>
            <w:r w:rsidR="00DA5DED">
              <w:rPr>
                <w:rFonts w:ascii="Verdana" w:hAnsi="Verdana" w:cstheme="minorHAnsi"/>
                <w:color w:val="002060"/>
              </w:rPr>
              <w:t xml:space="preserve"> and atypical gender development </w:t>
            </w:r>
          </w:p>
        </w:tc>
      </w:tr>
      <w:tr w:rsidR="009A026C" w:rsidRPr="00B245FA" w14:paraId="105C29D4" w14:textId="77777777" w:rsidTr="00F75102">
        <w:trPr>
          <w:trHeight w:val="537"/>
        </w:trPr>
        <w:tc>
          <w:tcPr>
            <w:tcW w:w="704" w:type="dxa"/>
          </w:tcPr>
          <w:p w14:paraId="00BD6BF5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930" w:type="dxa"/>
            <w:gridSpan w:val="4"/>
          </w:tcPr>
          <w:p w14:paraId="7DE33459" w14:textId="1A038F82" w:rsidR="009A026C" w:rsidRPr="00B245FA" w:rsidRDefault="00A37E94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The biological basis of gender: chromosomes and hormones inc. atypical chromosomes</w:t>
            </w:r>
          </w:p>
        </w:tc>
      </w:tr>
      <w:tr w:rsidR="009A026C" w:rsidRPr="00B245FA" w14:paraId="57823E38" w14:textId="77777777" w:rsidTr="00F75102">
        <w:trPr>
          <w:trHeight w:val="537"/>
        </w:trPr>
        <w:tc>
          <w:tcPr>
            <w:tcW w:w="704" w:type="dxa"/>
          </w:tcPr>
          <w:p w14:paraId="3ABD73D2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930" w:type="dxa"/>
            <w:gridSpan w:val="4"/>
          </w:tcPr>
          <w:p w14:paraId="111115E9" w14:textId="761D7FB5" w:rsidR="009A026C" w:rsidRPr="00B245FA" w:rsidRDefault="00A37E94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Explanations for gender development: cognitive and other</w:t>
            </w:r>
          </w:p>
        </w:tc>
      </w:tr>
      <w:tr w:rsidR="009A026C" w:rsidRPr="00B245FA" w14:paraId="2001ECC6" w14:textId="77777777" w:rsidTr="00F75102">
        <w:trPr>
          <w:trHeight w:val="537"/>
        </w:trPr>
        <w:tc>
          <w:tcPr>
            <w:tcW w:w="704" w:type="dxa"/>
          </w:tcPr>
          <w:p w14:paraId="3A99DB7C" w14:textId="77777777" w:rsidR="009A026C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930" w:type="dxa"/>
            <w:gridSpan w:val="4"/>
          </w:tcPr>
          <w:p w14:paraId="3B860887" w14:textId="62B742A3" w:rsidR="009A026C" w:rsidRDefault="00DA5DED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The influence of culture and media on gender roles. </w:t>
            </w:r>
          </w:p>
        </w:tc>
      </w:tr>
    </w:tbl>
    <w:p w14:paraId="5F586A7A" w14:textId="77777777" w:rsidR="00822F11" w:rsidRDefault="00822F11" w:rsidP="009A026C">
      <w:pPr>
        <w:rPr>
          <w:rFonts w:ascii="Verdana" w:hAnsi="Verdana"/>
          <w:color w:val="002060"/>
          <w:sz w:val="24"/>
          <w:szCs w:val="24"/>
        </w:rPr>
      </w:pPr>
    </w:p>
    <w:p w14:paraId="04E53795" w14:textId="19D6C536" w:rsidR="009A026C" w:rsidRPr="00B245FA" w:rsidRDefault="009A026C" w:rsidP="009A026C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660" w:type="dxa"/>
        <w:tblInd w:w="-323" w:type="dxa"/>
        <w:tblLook w:val="04A0" w:firstRow="1" w:lastRow="0" w:firstColumn="1" w:lastColumn="0" w:noHBand="0" w:noVBand="1"/>
      </w:tblPr>
      <w:tblGrid>
        <w:gridCol w:w="1935"/>
        <w:gridCol w:w="1663"/>
        <w:gridCol w:w="1837"/>
        <w:gridCol w:w="1448"/>
        <w:gridCol w:w="1374"/>
        <w:gridCol w:w="1403"/>
      </w:tblGrid>
      <w:tr w:rsidR="004C2833" w:rsidRPr="00B245FA" w14:paraId="0F368007" w14:textId="77777777" w:rsidTr="00F75102">
        <w:trPr>
          <w:trHeight w:val="340"/>
        </w:trPr>
        <w:tc>
          <w:tcPr>
            <w:tcW w:w="1935" w:type="dxa"/>
          </w:tcPr>
          <w:p w14:paraId="689205D3" w14:textId="719497F2" w:rsidR="009A026C" w:rsidRPr="00B245FA" w:rsidRDefault="00A235A9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Plasticity </w:t>
            </w:r>
          </w:p>
        </w:tc>
        <w:tc>
          <w:tcPr>
            <w:tcW w:w="1663" w:type="dxa"/>
          </w:tcPr>
          <w:p w14:paraId="44F6606B" w14:textId="577A26BB" w:rsidR="009A026C" w:rsidRPr="00B245FA" w:rsidRDefault="00A235A9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Hemisphere</w:t>
            </w:r>
          </w:p>
        </w:tc>
        <w:tc>
          <w:tcPr>
            <w:tcW w:w="1837" w:type="dxa"/>
          </w:tcPr>
          <w:p w14:paraId="3ADDD0DF" w14:textId="2CB2ED49" w:rsidR="009A026C" w:rsidRPr="00B245FA" w:rsidRDefault="00A235A9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Lateralisation</w:t>
            </w:r>
          </w:p>
        </w:tc>
        <w:tc>
          <w:tcPr>
            <w:tcW w:w="1448" w:type="dxa"/>
          </w:tcPr>
          <w:p w14:paraId="6AA2D958" w14:textId="60C2B43B" w:rsidR="009A026C" w:rsidRPr="00B245FA" w:rsidRDefault="00A235A9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Circadian</w:t>
            </w:r>
          </w:p>
        </w:tc>
        <w:tc>
          <w:tcPr>
            <w:tcW w:w="1374" w:type="dxa"/>
          </w:tcPr>
          <w:p w14:paraId="0478F91D" w14:textId="39F14069" w:rsidR="009A026C" w:rsidRPr="00B245FA" w:rsidRDefault="00A235A9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Infradian</w:t>
            </w:r>
          </w:p>
        </w:tc>
        <w:tc>
          <w:tcPr>
            <w:tcW w:w="1403" w:type="dxa"/>
          </w:tcPr>
          <w:p w14:paraId="2FF96F7B" w14:textId="44CACBCB" w:rsidR="009A026C" w:rsidRPr="00B245FA" w:rsidRDefault="00697C20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</w:t>
            </w:r>
            <w:r w:rsidR="00A235A9">
              <w:rPr>
                <w:rFonts w:ascii="Verdana" w:hAnsi="Verdana"/>
                <w:color w:val="002060"/>
                <w:sz w:val="24"/>
                <w:szCs w:val="24"/>
              </w:rPr>
              <w:t>ndocrine</w:t>
            </w:r>
          </w:p>
        </w:tc>
      </w:tr>
      <w:tr w:rsidR="004C2833" w:rsidRPr="00B245FA" w14:paraId="10F062C6" w14:textId="77777777" w:rsidTr="00F75102">
        <w:trPr>
          <w:trHeight w:val="370"/>
        </w:trPr>
        <w:tc>
          <w:tcPr>
            <w:tcW w:w="1935" w:type="dxa"/>
          </w:tcPr>
          <w:p w14:paraId="38DA44D1" w14:textId="6B1D62DA" w:rsidR="009A026C" w:rsidRPr="00B245FA" w:rsidRDefault="00795638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Chromosomes </w:t>
            </w:r>
          </w:p>
        </w:tc>
        <w:tc>
          <w:tcPr>
            <w:tcW w:w="1663" w:type="dxa"/>
          </w:tcPr>
          <w:p w14:paraId="288EC937" w14:textId="575CAFF2" w:rsidR="009A026C" w:rsidRPr="00B245FA" w:rsidRDefault="00822F11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Pacemakers </w:t>
            </w:r>
          </w:p>
        </w:tc>
        <w:tc>
          <w:tcPr>
            <w:tcW w:w="1837" w:type="dxa"/>
          </w:tcPr>
          <w:p w14:paraId="08C9FACE" w14:textId="71F05226" w:rsidR="009A026C" w:rsidRPr="00B245FA" w:rsidRDefault="00697C20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Klienfelter’s Syndrome</w:t>
            </w:r>
          </w:p>
        </w:tc>
        <w:tc>
          <w:tcPr>
            <w:tcW w:w="1448" w:type="dxa"/>
          </w:tcPr>
          <w:p w14:paraId="451FA5B0" w14:textId="77777777" w:rsidR="009A026C" w:rsidRDefault="00697C20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Turner’s</w:t>
            </w:r>
          </w:p>
          <w:p w14:paraId="47A770AD" w14:textId="06574370" w:rsidR="00697C20" w:rsidRPr="00B245FA" w:rsidRDefault="00697C20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Syndrome</w:t>
            </w:r>
          </w:p>
        </w:tc>
        <w:tc>
          <w:tcPr>
            <w:tcW w:w="1374" w:type="dxa"/>
          </w:tcPr>
          <w:p w14:paraId="7D9A6D64" w14:textId="77CC78ED" w:rsidR="009A026C" w:rsidRPr="00B245FA" w:rsidRDefault="00697C20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Androgen</w:t>
            </w:r>
          </w:p>
        </w:tc>
        <w:tc>
          <w:tcPr>
            <w:tcW w:w="1403" w:type="dxa"/>
          </w:tcPr>
          <w:p w14:paraId="28639FA6" w14:textId="1D40545B" w:rsidR="009A026C" w:rsidRPr="00B245FA" w:rsidRDefault="00F75102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XX / XY</w:t>
            </w:r>
          </w:p>
        </w:tc>
      </w:tr>
    </w:tbl>
    <w:p w14:paraId="5B797756" w14:textId="77777777" w:rsidR="00822F11" w:rsidRDefault="00822F11" w:rsidP="009A026C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289" w:tblpY="734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4C2833" w:rsidRPr="00B245FA" w14:paraId="5AFB04A3" w14:textId="77777777" w:rsidTr="00F75102">
        <w:trPr>
          <w:trHeight w:val="3425"/>
        </w:trPr>
        <w:tc>
          <w:tcPr>
            <w:tcW w:w="9634" w:type="dxa"/>
          </w:tcPr>
          <w:p w14:paraId="1DDC988E" w14:textId="77777777" w:rsidR="004C2833" w:rsidRDefault="004C2833" w:rsidP="00F75102">
            <w:pPr>
              <w:shd w:val="clear" w:color="auto" w:fill="FFFFFF"/>
              <w:ind w:right="360"/>
              <w:textAlignment w:val="baseline"/>
              <w:outlineLvl w:val="0"/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697C20">
              <w:rPr>
                <w:rFonts w:ascii="Verdana" w:eastAsia="Times New Roman" w:hAnsi="Verdana" w:cs="Helvetica"/>
                <w:b/>
                <w:bCs/>
                <w:noProof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6AEDC4B8" wp14:editId="3EA0A913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140719</wp:posOffset>
                  </wp:positionV>
                  <wp:extent cx="1235075" cy="1870710"/>
                  <wp:effectExtent l="0" t="0" r="3175" b="0"/>
                  <wp:wrapTight wrapText="bothSides">
                    <wp:wrapPolygon edited="0">
                      <wp:start x="0" y="0"/>
                      <wp:lineTo x="0" y="21336"/>
                      <wp:lineTo x="21322" y="21336"/>
                      <wp:lineTo x="2132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870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D54E56" w14:textId="30402C1B" w:rsidR="004C2833" w:rsidRDefault="004C2833" w:rsidP="00F75102">
            <w:pPr>
              <w:shd w:val="clear" w:color="auto" w:fill="FFFFFF"/>
              <w:ind w:right="360"/>
              <w:textAlignment w:val="baseline"/>
              <w:outlineLvl w:val="0"/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697C20"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t xml:space="preserve">Phantoms in the Brain: Human Nature and the Architecture of the Mind – By V.S. Ramachandran </w:t>
            </w:r>
            <w:r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t xml:space="preserve">&amp; </w:t>
            </w:r>
            <w:r w:rsidRPr="00697C20"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t>Sandra Blakeslee</w:t>
            </w:r>
          </w:p>
          <w:p w14:paraId="28E8C600" w14:textId="77777777" w:rsidR="00F75102" w:rsidRPr="00697C20" w:rsidRDefault="00F75102" w:rsidP="00F75102">
            <w:pPr>
              <w:shd w:val="clear" w:color="auto" w:fill="FFFFFF"/>
              <w:ind w:right="360"/>
              <w:textAlignment w:val="baseline"/>
              <w:outlineLvl w:val="0"/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</w:pPr>
          </w:p>
          <w:p w14:paraId="3C2B0F69" w14:textId="77777777" w:rsidR="004C2833" w:rsidRPr="00B245FA" w:rsidRDefault="004C2833" w:rsidP="00F75102">
            <w:pPr>
              <w:shd w:val="clear" w:color="auto" w:fill="FFFFFF"/>
              <w:ind w:right="360"/>
              <w:textAlignment w:val="baseline"/>
              <w:outlineLvl w:val="0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697C20">
              <w:rPr>
                <w:rFonts w:ascii="Verdana" w:hAnsi="Verdana" w:cs="Helvetica"/>
                <w:color w:val="002060"/>
                <w:sz w:val="24"/>
                <w:szCs w:val="24"/>
                <w:shd w:val="clear" w:color="auto" w:fill="FFFFFF"/>
              </w:rPr>
              <w:t xml:space="preserve">‘Phantoms in The Brain’, using a series of case histories, introduces strange and unexplored mental worlds. Ramachandran, through his research into brain damage, has discovered that the brain is continually organising itself in response to change. </w:t>
            </w:r>
          </w:p>
        </w:tc>
      </w:tr>
    </w:tbl>
    <w:p w14:paraId="446DBA95" w14:textId="60774AB2" w:rsidR="009A026C" w:rsidRPr="00B245FA" w:rsidRDefault="009A026C" w:rsidP="009A026C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57CE1AB" w14:textId="77777777" w:rsidR="00572694" w:rsidRDefault="00572694"/>
    <w:sectPr w:rsidR="005726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26C"/>
    <w:rsid w:val="00443D3C"/>
    <w:rsid w:val="004C2833"/>
    <w:rsid w:val="005029C4"/>
    <w:rsid w:val="00572694"/>
    <w:rsid w:val="005E3195"/>
    <w:rsid w:val="00697C20"/>
    <w:rsid w:val="00764492"/>
    <w:rsid w:val="00795638"/>
    <w:rsid w:val="00822F11"/>
    <w:rsid w:val="008B3634"/>
    <w:rsid w:val="009A026C"/>
    <w:rsid w:val="00A235A9"/>
    <w:rsid w:val="00A37E94"/>
    <w:rsid w:val="00BD2198"/>
    <w:rsid w:val="00BE1BA8"/>
    <w:rsid w:val="00DA5DED"/>
    <w:rsid w:val="00E01F80"/>
    <w:rsid w:val="00F7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33E9C"/>
  <w15:chartTrackingRefBased/>
  <w15:docId w15:val="{044C1939-2728-4EDC-ACD9-DF0AF39AA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026C"/>
  </w:style>
  <w:style w:type="paragraph" w:styleId="Heading1">
    <w:name w:val="heading 1"/>
    <w:basedOn w:val="Normal"/>
    <w:link w:val="Heading1Char"/>
    <w:uiPriority w:val="9"/>
    <w:qFormat/>
    <w:rsid w:val="00697C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2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A026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97C2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main-heading">
    <w:name w:val="main-heading"/>
    <w:basedOn w:val="DefaultParagraphFont"/>
    <w:rsid w:val="00697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5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Hattie Allan (Kenwood)</dc:creator>
  <cp:keywords/>
  <dc:description/>
  <cp:lastModifiedBy>Hattie Allan (Kenwood)</cp:lastModifiedBy>
  <cp:revision>11</cp:revision>
  <dcterms:created xsi:type="dcterms:W3CDTF">2024-09-10T12:57:00Z</dcterms:created>
  <dcterms:modified xsi:type="dcterms:W3CDTF">2025-10-10T11:58:00Z</dcterms:modified>
</cp:coreProperties>
</file>