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312907AC"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861863">
              <w:rPr>
                <w:rFonts w:ascii="Verdana" w:hAnsi="Verdana"/>
                <w:b/>
                <w:bCs/>
                <w:sz w:val="24"/>
                <w:szCs w:val="24"/>
              </w:rPr>
              <w:t>C10</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6F5369B1"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5131B">
              <w:rPr>
                <w:rFonts w:ascii="Verdana" w:hAnsi="Verdana"/>
                <w:b/>
                <w:bCs/>
                <w:sz w:val="24"/>
                <w:szCs w:val="24"/>
              </w:rPr>
              <w:t>2</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2FA15F72" w:rsidR="00B245FA" w:rsidRPr="00B245FA" w:rsidRDefault="00861863" w:rsidP="00B245FA">
            <w:pPr>
              <w:rPr>
                <w:rFonts w:ascii="Verdana" w:hAnsi="Verdana"/>
                <w:b/>
                <w:bCs/>
                <w:sz w:val="24"/>
                <w:szCs w:val="24"/>
              </w:rPr>
            </w:pPr>
            <w:r>
              <w:rPr>
                <w:rFonts w:ascii="Verdana" w:hAnsi="Verdana"/>
                <w:b/>
                <w:bCs/>
                <w:sz w:val="24"/>
                <w:szCs w:val="24"/>
              </w:rPr>
              <w:t>Ed Kirk and Sarah Hully</w:t>
            </w:r>
          </w:p>
        </w:tc>
      </w:tr>
      <w:tr w:rsidR="00B245FA" w:rsidRPr="00B245FA" w14:paraId="0B0B2711" w14:textId="77777777" w:rsidTr="001E615B">
        <w:trPr>
          <w:trHeight w:val="483"/>
        </w:trPr>
        <w:tc>
          <w:tcPr>
            <w:tcW w:w="10485" w:type="dxa"/>
            <w:gridSpan w:val="4"/>
          </w:tcPr>
          <w:p w14:paraId="151CC055" w14:textId="0FABC4B1"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r w:rsidR="00F62B57">
              <w:rPr>
                <w:rFonts w:ascii="Verdana" w:hAnsi="Verdana"/>
                <w:b/>
                <w:bCs/>
                <w:sz w:val="24"/>
                <w:szCs w:val="24"/>
              </w:rPr>
              <w:t xml:space="preserve"> (</w:t>
            </w:r>
            <w:r w:rsidR="006275BE">
              <w:rPr>
                <w:rFonts w:ascii="Verdana" w:hAnsi="Verdana"/>
                <w:b/>
                <w:bCs/>
                <w:sz w:val="24"/>
                <w:szCs w:val="24"/>
              </w:rPr>
              <w:t>Foundation</w:t>
            </w:r>
            <w:r w:rsidR="00F62B57">
              <w:rPr>
                <w:rFonts w:ascii="Verdana" w:hAnsi="Verdana"/>
                <w:b/>
                <w:bCs/>
                <w:sz w:val="24"/>
                <w:szCs w:val="24"/>
              </w:rPr>
              <w:t xml:space="preserve"> Tier)</w:t>
            </w:r>
          </w:p>
        </w:tc>
      </w:tr>
      <w:tr w:rsidR="00B245FA" w:rsidRPr="00B245FA" w14:paraId="351A68E2" w14:textId="77777777" w:rsidTr="001E615B">
        <w:trPr>
          <w:trHeight w:val="1283"/>
        </w:trPr>
        <w:tc>
          <w:tcPr>
            <w:tcW w:w="10485" w:type="dxa"/>
            <w:gridSpan w:val="4"/>
          </w:tcPr>
          <w:p w14:paraId="45E674C4" w14:textId="3C47DC74"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55131B">
              <w:rPr>
                <w:rFonts w:ascii="Verdana" w:hAnsi="Verdana" w:cstheme="minorHAnsi"/>
                <w:b/>
                <w:bCs/>
                <w:sz w:val="24"/>
                <w:szCs w:val="24"/>
              </w:rPr>
              <w:t>2</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F84C8D">
              <w:rPr>
                <w:rFonts w:cstheme="minorHAnsi"/>
                <w:sz w:val="24"/>
                <w:szCs w:val="24"/>
              </w:rPr>
              <w:t>We will cover topics from Theme 6: Geometry, Theme 3: Multiplicative reasoning</w:t>
            </w:r>
            <w:r w:rsidR="001C6519">
              <w:rPr>
                <w:rFonts w:cstheme="minorHAnsi"/>
                <w:sz w:val="24"/>
                <w:szCs w:val="24"/>
              </w:rPr>
              <w:t>,</w:t>
            </w:r>
            <w:r w:rsidR="00F84C8D">
              <w:rPr>
                <w:rFonts w:cstheme="minorHAnsi"/>
                <w:sz w:val="24"/>
                <w:szCs w:val="24"/>
              </w:rPr>
              <w:t xml:space="preserve"> and Theme 5: Statistics and probability. We will be using the rules for </w:t>
            </w:r>
            <w:r w:rsidR="00FB1BE6">
              <w:rPr>
                <w:rFonts w:cstheme="minorHAnsi"/>
                <w:sz w:val="24"/>
                <w:szCs w:val="24"/>
              </w:rPr>
              <w:t>area and perimeter to solve problems with rectilinear shapes, triangles, special quadrilaterals and circles</w:t>
            </w:r>
            <w:r w:rsidR="00F84C8D">
              <w:rPr>
                <w:rFonts w:cstheme="minorHAnsi"/>
                <w:sz w:val="24"/>
                <w:szCs w:val="24"/>
              </w:rPr>
              <w:t>. We will look at ratio and use ratio tables to solve ‘best buy problems’ and then look at probability</w:t>
            </w:r>
            <w:r w:rsidR="001C6519">
              <w:rPr>
                <w:rFonts w:cstheme="minorHAnsi"/>
                <w:sz w:val="24"/>
                <w:szCs w:val="24"/>
              </w:rPr>
              <w:t>,</w:t>
            </w:r>
            <w:r w:rsidR="00F84C8D">
              <w:rPr>
                <w:rFonts w:cstheme="minorHAnsi"/>
                <w:sz w:val="24"/>
                <w:szCs w:val="24"/>
              </w:rPr>
              <w:t xml:space="preserve"> find</w:t>
            </w:r>
            <w:r w:rsidR="001C6519">
              <w:rPr>
                <w:rFonts w:cstheme="minorHAnsi"/>
                <w:sz w:val="24"/>
                <w:szCs w:val="24"/>
              </w:rPr>
              <w:t>ing</w:t>
            </w:r>
            <w:r w:rsidR="00F84C8D">
              <w:rPr>
                <w:rFonts w:cstheme="minorHAnsi"/>
                <w:sz w:val="24"/>
                <w:szCs w:val="24"/>
              </w:rPr>
              <w:t xml:space="preserve"> the probability of single and multiple events.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36"/>
        <w:gridCol w:w="4177"/>
        <w:gridCol w:w="1578"/>
        <w:gridCol w:w="1114"/>
        <w:gridCol w:w="1126"/>
        <w:gridCol w:w="955"/>
      </w:tblGrid>
      <w:tr w:rsidR="00831BCF" w:rsidRPr="00D76A23" w14:paraId="6B6CAEA5" w14:textId="77777777" w:rsidTr="001139DF">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2000"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1C6519">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tcBorders>
              <w:bottom w:val="single" w:sz="4" w:space="0" w:color="auto"/>
            </w:tcBorders>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2000" w:type="pct"/>
            <w:tcBorders>
              <w:bottom w:val="single" w:sz="4" w:space="0" w:color="auto"/>
            </w:tcBorders>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1139DF" w:rsidRPr="00D76A23" w14:paraId="23095E5E" w14:textId="4951FCFA" w:rsidTr="001C6519">
        <w:trPr>
          <w:trHeight w:val="885"/>
          <w:jc w:val="center"/>
        </w:trPr>
        <w:tc>
          <w:tcPr>
            <w:tcW w:w="220" w:type="pct"/>
            <w:tcBorders>
              <w:right w:val="single" w:sz="4" w:space="0" w:color="auto"/>
            </w:tcBorders>
            <w:shd w:val="clear" w:color="000000" w:fill="FFFFFF"/>
            <w:vAlign w:val="center"/>
          </w:tcPr>
          <w:p w14:paraId="3A4C31A9" w14:textId="522EA7FF"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1819FA16" w14:textId="33EB817B"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2000" w:type="pct"/>
            <w:tcBorders>
              <w:top w:val="single" w:sz="4" w:space="0" w:color="auto"/>
              <w:left w:val="nil"/>
              <w:bottom w:val="single" w:sz="4" w:space="0" w:color="auto"/>
              <w:right w:val="single" w:sz="4" w:space="0" w:color="auto"/>
            </w:tcBorders>
            <w:shd w:val="clear" w:color="auto" w:fill="auto"/>
            <w:vAlign w:val="center"/>
          </w:tcPr>
          <w:p w14:paraId="379BE1BA" w14:textId="742A755D" w:rsidR="001139DF" w:rsidRPr="00825AD5" w:rsidRDefault="006275BE"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area and perimeter of rectilinear shapes</w:t>
            </w:r>
          </w:p>
        </w:tc>
        <w:tc>
          <w:tcPr>
            <w:tcW w:w="755" w:type="pct"/>
            <w:tcBorders>
              <w:left w:val="single" w:sz="4" w:space="0" w:color="auto"/>
            </w:tcBorders>
          </w:tcPr>
          <w:p w14:paraId="6EB5C03B"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20E7B2C4" w14:textId="34357C51" w:rsidTr="001C6519">
        <w:trPr>
          <w:trHeight w:val="885"/>
          <w:jc w:val="center"/>
        </w:trPr>
        <w:tc>
          <w:tcPr>
            <w:tcW w:w="220" w:type="pct"/>
            <w:tcBorders>
              <w:right w:val="single" w:sz="4" w:space="0" w:color="auto"/>
            </w:tcBorders>
            <w:shd w:val="clear" w:color="000000" w:fill="FFFFFF"/>
            <w:vAlign w:val="center"/>
          </w:tcPr>
          <w:p w14:paraId="39760F18" w14:textId="74221651"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012DE87C" w14:textId="7714C83C"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593C8B93" w14:textId="6532DD55"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 xml:space="preserve">I </w:t>
            </w:r>
            <w:r w:rsidR="006275BE">
              <w:rPr>
                <w:rFonts w:ascii="Calibri" w:hAnsi="Calibri" w:cs="Calibri"/>
                <w:color w:val="000000"/>
              </w:rPr>
              <w:t>can find the area and perimeter of triangles and special quadrilaterals</w:t>
            </w:r>
          </w:p>
        </w:tc>
        <w:tc>
          <w:tcPr>
            <w:tcW w:w="755" w:type="pct"/>
            <w:tcBorders>
              <w:left w:val="single" w:sz="4" w:space="0" w:color="auto"/>
            </w:tcBorders>
          </w:tcPr>
          <w:p w14:paraId="0AAEA2C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6362422B" w14:textId="084FAD9C" w:rsidTr="001C6519">
        <w:trPr>
          <w:trHeight w:val="885"/>
          <w:jc w:val="center"/>
        </w:trPr>
        <w:tc>
          <w:tcPr>
            <w:tcW w:w="220" w:type="pct"/>
            <w:tcBorders>
              <w:right w:val="single" w:sz="4" w:space="0" w:color="auto"/>
            </w:tcBorders>
            <w:shd w:val="clear" w:color="000000" w:fill="FFFFFF"/>
            <w:vAlign w:val="center"/>
          </w:tcPr>
          <w:p w14:paraId="73C1DD0C" w14:textId="7231E6F5"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6F4A1004" w14:textId="42613AA6"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075550A2" w14:textId="36D2B659" w:rsidR="001139DF" w:rsidRPr="00825AD5" w:rsidRDefault="006275BE"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area and circumference of a circle</w:t>
            </w:r>
          </w:p>
        </w:tc>
        <w:tc>
          <w:tcPr>
            <w:tcW w:w="755" w:type="pct"/>
            <w:tcBorders>
              <w:left w:val="single" w:sz="4" w:space="0" w:color="auto"/>
            </w:tcBorders>
          </w:tcPr>
          <w:p w14:paraId="5E0DA5E3"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182DD407" w14:textId="3297C639" w:rsidTr="001C6519">
        <w:trPr>
          <w:trHeight w:val="885"/>
          <w:jc w:val="center"/>
        </w:trPr>
        <w:tc>
          <w:tcPr>
            <w:tcW w:w="220" w:type="pct"/>
            <w:tcBorders>
              <w:right w:val="single" w:sz="4" w:space="0" w:color="auto"/>
            </w:tcBorders>
            <w:shd w:val="clear" w:color="000000" w:fill="FFFFFF"/>
            <w:vAlign w:val="center"/>
          </w:tcPr>
          <w:p w14:paraId="4B91520C" w14:textId="733C22C2"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21057BD1" w14:textId="3AC29930"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6A6BB227" w14:textId="7F42A925" w:rsidR="001139DF" w:rsidRPr="00825AD5" w:rsidRDefault="006275BE"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use the volume of cylinder</w:t>
            </w:r>
          </w:p>
        </w:tc>
        <w:tc>
          <w:tcPr>
            <w:tcW w:w="755" w:type="pct"/>
            <w:tcBorders>
              <w:left w:val="single" w:sz="4" w:space="0" w:color="auto"/>
            </w:tcBorders>
          </w:tcPr>
          <w:p w14:paraId="75F11CA3"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381B7F2A" w14:textId="599C9EF1" w:rsidTr="001C6519">
        <w:trPr>
          <w:trHeight w:val="885"/>
          <w:jc w:val="center"/>
        </w:trPr>
        <w:tc>
          <w:tcPr>
            <w:tcW w:w="220" w:type="pct"/>
            <w:tcBorders>
              <w:right w:val="single" w:sz="4" w:space="0" w:color="auto"/>
            </w:tcBorders>
            <w:shd w:val="clear" w:color="000000" w:fill="FFFFFF"/>
            <w:vAlign w:val="center"/>
          </w:tcPr>
          <w:p w14:paraId="312BD388" w14:textId="1E5302D4"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795ECAB7" w14:textId="5D9E6E09"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4493C52B" w14:textId="21F03865"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share a quantity in a ratio</w:t>
            </w:r>
          </w:p>
        </w:tc>
        <w:tc>
          <w:tcPr>
            <w:tcW w:w="755" w:type="pct"/>
            <w:tcBorders>
              <w:left w:val="single" w:sz="4" w:space="0" w:color="auto"/>
            </w:tcBorders>
          </w:tcPr>
          <w:p w14:paraId="01FEBC50"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45D30844" w14:textId="465AF19A" w:rsidTr="001C6519">
        <w:trPr>
          <w:trHeight w:val="809"/>
          <w:jc w:val="center"/>
        </w:trPr>
        <w:tc>
          <w:tcPr>
            <w:tcW w:w="220" w:type="pct"/>
            <w:tcBorders>
              <w:right w:val="single" w:sz="4" w:space="0" w:color="auto"/>
            </w:tcBorders>
            <w:shd w:val="clear" w:color="000000" w:fill="FFFFFF"/>
            <w:noWrap/>
            <w:vAlign w:val="center"/>
          </w:tcPr>
          <w:p w14:paraId="11EA336B" w14:textId="2E21CAE1"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60C35C72" w14:textId="17B04E77"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41BE73AE" w14:textId="61BEE18D"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'best buy' problems</w:t>
            </w:r>
          </w:p>
        </w:tc>
        <w:tc>
          <w:tcPr>
            <w:tcW w:w="755" w:type="pct"/>
            <w:tcBorders>
              <w:left w:val="single" w:sz="4" w:space="0" w:color="auto"/>
            </w:tcBorders>
          </w:tcPr>
          <w:p w14:paraId="05659086"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1C2CEDAC" w14:textId="43776727" w:rsidTr="001C6519">
        <w:trPr>
          <w:trHeight w:val="779"/>
          <w:jc w:val="center"/>
        </w:trPr>
        <w:tc>
          <w:tcPr>
            <w:tcW w:w="220" w:type="pct"/>
            <w:tcBorders>
              <w:right w:val="single" w:sz="4" w:space="0" w:color="auto"/>
            </w:tcBorders>
            <w:shd w:val="clear" w:color="000000" w:fill="FFFFFF"/>
            <w:vAlign w:val="center"/>
          </w:tcPr>
          <w:p w14:paraId="4BF0EDF9" w14:textId="452C0737"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74E6380E" w14:textId="72DFD282"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3F015FAE" w14:textId="0F9BC1D6"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percentage of an amount</w:t>
            </w:r>
          </w:p>
        </w:tc>
        <w:tc>
          <w:tcPr>
            <w:tcW w:w="755" w:type="pct"/>
            <w:tcBorders>
              <w:left w:val="single" w:sz="4" w:space="0" w:color="auto"/>
            </w:tcBorders>
          </w:tcPr>
          <w:p w14:paraId="7B468D5F"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1139DF" w:rsidRPr="00D76A23" w:rsidRDefault="001139DF" w:rsidP="001139DF">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728EE60D" w14:textId="071B5C43" w:rsidTr="001C6519">
        <w:trPr>
          <w:trHeight w:val="863"/>
          <w:jc w:val="center"/>
        </w:trPr>
        <w:tc>
          <w:tcPr>
            <w:tcW w:w="220" w:type="pct"/>
            <w:tcBorders>
              <w:right w:val="single" w:sz="4" w:space="0" w:color="auto"/>
            </w:tcBorders>
            <w:shd w:val="clear" w:color="000000" w:fill="FFFFFF"/>
            <w:vAlign w:val="center"/>
          </w:tcPr>
          <w:p w14:paraId="7918CF5B" w14:textId="1446AA51"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47D7D3B7" w14:textId="6567E4EA"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3DE1DE7C" w14:textId="0E4AEEB7"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 xml:space="preserve">I can </w:t>
            </w:r>
            <w:r w:rsidR="006275BE">
              <w:rPr>
                <w:rFonts w:ascii="Calibri" w:hAnsi="Calibri" w:cs="Calibri"/>
                <w:color w:val="000000"/>
              </w:rPr>
              <w:t>increase and decrease by a given percentage</w:t>
            </w:r>
          </w:p>
        </w:tc>
        <w:tc>
          <w:tcPr>
            <w:tcW w:w="755" w:type="pct"/>
            <w:tcBorders>
              <w:left w:val="single" w:sz="4" w:space="0" w:color="auto"/>
            </w:tcBorders>
          </w:tcPr>
          <w:p w14:paraId="1D210E1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121309D9" w14:textId="0EF5C9CA" w:rsidTr="001C6519">
        <w:trPr>
          <w:trHeight w:val="981"/>
          <w:jc w:val="center"/>
        </w:trPr>
        <w:tc>
          <w:tcPr>
            <w:tcW w:w="220" w:type="pct"/>
            <w:tcBorders>
              <w:right w:val="single" w:sz="4" w:space="0" w:color="auto"/>
            </w:tcBorders>
            <w:shd w:val="clear" w:color="000000" w:fill="FFFFFF"/>
            <w:vAlign w:val="center"/>
          </w:tcPr>
          <w:p w14:paraId="02A6A266" w14:textId="6F00C715"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4DB0DE66" w14:textId="081766E9"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1550C381" w14:textId="04D3ADFF"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probability of a single event</w:t>
            </w:r>
          </w:p>
        </w:tc>
        <w:tc>
          <w:tcPr>
            <w:tcW w:w="755" w:type="pct"/>
            <w:tcBorders>
              <w:left w:val="single" w:sz="4" w:space="0" w:color="auto"/>
            </w:tcBorders>
          </w:tcPr>
          <w:p w14:paraId="14166C59"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1139DF" w:rsidRPr="00D76A23" w:rsidRDefault="001139DF" w:rsidP="001139DF">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33B3875F" w14:textId="77777777" w:rsidTr="001C6519">
        <w:trPr>
          <w:trHeight w:val="825"/>
          <w:jc w:val="center"/>
        </w:trPr>
        <w:tc>
          <w:tcPr>
            <w:tcW w:w="220" w:type="pct"/>
            <w:tcBorders>
              <w:right w:val="single" w:sz="4" w:space="0" w:color="auto"/>
            </w:tcBorders>
            <w:shd w:val="clear" w:color="000000" w:fill="FFFFFF"/>
            <w:vAlign w:val="center"/>
          </w:tcPr>
          <w:p w14:paraId="6D75FD40" w14:textId="55878359" w:rsidR="001139DF"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62817A88" w14:textId="47C6CFB3"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1C469E08" w14:textId="311AEB7B"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the probability of multiple events</w:t>
            </w:r>
          </w:p>
        </w:tc>
        <w:tc>
          <w:tcPr>
            <w:tcW w:w="755" w:type="pct"/>
            <w:tcBorders>
              <w:left w:val="single" w:sz="4" w:space="0" w:color="auto"/>
            </w:tcBorders>
          </w:tcPr>
          <w:p w14:paraId="5C295E97"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1139DF" w:rsidRPr="00D76A23" w:rsidRDefault="001139DF" w:rsidP="001139DF">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1413"/>
        <w:gridCol w:w="2268"/>
        <w:gridCol w:w="2126"/>
        <w:gridCol w:w="2897"/>
        <w:gridCol w:w="1810"/>
      </w:tblGrid>
      <w:tr w:rsidR="00825AD5" w:rsidRPr="001B0CDB" w14:paraId="4A03E27A" w14:textId="77777777" w:rsidTr="001C6519">
        <w:trPr>
          <w:trHeight w:val="466"/>
        </w:trPr>
        <w:tc>
          <w:tcPr>
            <w:tcW w:w="1413" w:type="dxa"/>
          </w:tcPr>
          <w:p w14:paraId="6F777B50" w14:textId="212AE4F1" w:rsidR="00825AD5" w:rsidRPr="001B0CDB" w:rsidRDefault="001C6519" w:rsidP="00825AD5">
            <w:pPr>
              <w:rPr>
                <w:rFonts w:ascii="Verdana" w:hAnsi="Verdana"/>
                <w:sz w:val="24"/>
                <w:szCs w:val="24"/>
              </w:rPr>
            </w:pPr>
            <w:r>
              <w:rPr>
                <w:rFonts w:ascii="Verdana" w:hAnsi="Verdana"/>
                <w:sz w:val="24"/>
                <w:szCs w:val="24"/>
              </w:rPr>
              <w:t>area</w:t>
            </w:r>
          </w:p>
        </w:tc>
        <w:tc>
          <w:tcPr>
            <w:tcW w:w="2268" w:type="dxa"/>
          </w:tcPr>
          <w:p w14:paraId="55C298C8" w14:textId="053C756E" w:rsidR="00825AD5" w:rsidRPr="001B0CDB" w:rsidRDefault="001C6519" w:rsidP="00825AD5">
            <w:pPr>
              <w:rPr>
                <w:rFonts w:ascii="Verdana" w:hAnsi="Verdana"/>
                <w:sz w:val="24"/>
                <w:szCs w:val="24"/>
              </w:rPr>
            </w:pPr>
            <w:r>
              <w:rPr>
                <w:rFonts w:ascii="Verdana" w:hAnsi="Verdana"/>
                <w:sz w:val="24"/>
                <w:szCs w:val="24"/>
              </w:rPr>
              <w:t>circumference</w:t>
            </w:r>
          </w:p>
        </w:tc>
        <w:tc>
          <w:tcPr>
            <w:tcW w:w="2126" w:type="dxa"/>
          </w:tcPr>
          <w:p w14:paraId="256C2014" w14:textId="37C5B9C1" w:rsidR="00825AD5" w:rsidRPr="001B0CDB" w:rsidRDefault="001C6519" w:rsidP="00825AD5">
            <w:pPr>
              <w:rPr>
                <w:rFonts w:ascii="Verdana" w:hAnsi="Verdana"/>
                <w:sz w:val="24"/>
                <w:szCs w:val="24"/>
              </w:rPr>
            </w:pPr>
            <w:r>
              <w:rPr>
                <w:rFonts w:ascii="Verdana" w:hAnsi="Verdana"/>
                <w:sz w:val="24"/>
                <w:szCs w:val="24"/>
              </w:rPr>
              <w:t>volume</w:t>
            </w:r>
          </w:p>
        </w:tc>
        <w:tc>
          <w:tcPr>
            <w:tcW w:w="2897" w:type="dxa"/>
          </w:tcPr>
          <w:p w14:paraId="40175690" w14:textId="755C7F16" w:rsidR="00825AD5" w:rsidRPr="001B0CDB" w:rsidRDefault="006275BE" w:rsidP="00825AD5">
            <w:pPr>
              <w:rPr>
                <w:rFonts w:ascii="Verdana" w:hAnsi="Verdana"/>
                <w:sz w:val="24"/>
                <w:szCs w:val="24"/>
              </w:rPr>
            </w:pPr>
            <w:r>
              <w:rPr>
                <w:rFonts w:ascii="Verdana" w:hAnsi="Verdana"/>
                <w:sz w:val="24"/>
                <w:szCs w:val="24"/>
              </w:rPr>
              <w:t>Perimeter</w:t>
            </w:r>
          </w:p>
        </w:tc>
        <w:tc>
          <w:tcPr>
            <w:tcW w:w="1810" w:type="dxa"/>
          </w:tcPr>
          <w:p w14:paraId="5A60AE19" w14:textId="09EC7DAA" w:rsidR="00825AD5" w:rsidRPr="001B0CDB" w:rsidRDefault="006275BE" w:rsidP="00825AD5">
            <w:pPr>
              <w:rPr>
                <w:rFonts w:ascii="Verdana" w:hAnsi="Verdana"/>
                <w:sz w:val="24"/>
                <w:szCs w:val="24"/>
              </w:rPr>
            </w:pPr>
            <w:r>
              <w:rPr>
                <w:rFonts w:ascii="Verdana" w:hAnsi="Verdana"/>
                <w:sz w:val="24"/>
                <w:szCs w:val="24"/>
              </w:rPr>
              <w:t>event</w:t>
            </w:r>
          </w:p>
        </w:tc>
      </w:tr>
      <w:tr w:rsidR="00825AD5" w:rsidRPr="001B0CDB" w14:paraId="0B15E59C" w14:textId="77777777" w:rsidTr="001C6519">
        <w:trPr>
          <w:trHeight w:val="466"/>
        </w:trPr>
        <w:tc>
          <w:tcPr>
            <w:tcW w:w="1413" w:type="dxa"/>
          </w:tcPr>
          <w:p w14:paraId="121443A8" w14:textId="2BF70991" w:rsidR="00825AD5" w:rsidRPr="001B0CDB" w:rsidRDefault="001C6519" w:rsidP="00825AD5">
            <w:pPr>
              <w:rPr>
                <w:rFonts w:ascii="Verdana" w:hAnsi="Verdana"/>
                <w:sz w:val="24"/>
                <w:szCs w:val="24"/>
              </w:rPr>
            </w:pPr>
            <w:r>
              <w:rPr>
                <w:rFonts w:ascii="Verdana" w:hAnsi="Verdana"/>
                <w:sz w:val="24"/>
                <w:szCs w:val="24"/>
              </w:rPr>
              <w:t>ratio</w:t>
            </w:r>
          </w:p>
        </w:tc>
        <w:tc>
          <w:tcPr>
            <w:tcW w:w="2268" w:type="dxa"/>
          </w:tcPr>
          <w:p w14:paraId="2E7435A3" w14:textId="20DA9F5E" w:rsidR="00825AD5" w:rsidRPr="001B0CDB" w:rsidRDefault="001C6519" w:rsidP="00825AD5">
            <w:pPr>
              <w:rPr>
                <w:rFonts w:ascii="Verdana" w:hAnsi="Verdana"/>
                <w:sz w:val="24"/>
                <w:szCs w:val="24"/>
              </w:rPr>
            </w:pPr>
            <w:r>
              <w:rPr>
                <w:rFonts w:ascii="Verdana" w:hAnsi="Verdana"/>
                <w:sz w:val="24"/>
                <w:szCs w:val="24"/>
              </w:rPr>
              <w:t>multiplier</w:t>
            </w:r>
          </w:p>
        </w:tc>
        <w:tc>
          <w:tcPr>
            <w:tcW w:w="2126" w:type="dxa"/>
          </w:tcPr>
          <w:p w14:paraId="3B3A6B22" w14:textId="4AF8D41F" w:rsidR="00825AD5" w:rsidRPr="001B0CDB" w:rsidRDefault="001C6519" w:rsidP="00825AD5">
            <w:pPr>
              <w:rPr>
                <w:rFonts w:ascii="Verdana" w:hAnsi="Verdana"/>
                <w:sz w:val="24"/>
                <w:szCs w:val="24"/>
              </w:rPr>
            </w:pPr>
            <w:r>
              <w:rPr>
                <w:rFonts w:ascii="Verdana" w:hAnsi="Verdana"/>
                <w:sz w:val="24"/>
                <w:szCs w:val="24"/>
              </w:rPr>
              <w:t>simple interest</w:t>
            </w:r>
          </w:p>
        </w:tc>
        <w:tc>
          <w:tcPr>
            <w:tcW w:w="2897" w:type="dxa"/>
          </w:tcPr>
          <w:p w14:paraId="4B2CC4AD" w14:textId="113CD4CD" w:rsidR="00825AD5" w:rsidRPr="001B0CDB" w:rsidRDefault="00825AD5" w:rsidP="00825AD5">
            <w:pPr>
              <w:rPr>
                <w:rFonts w:ascii="Verdana" w:hAnsi="Verdana"/>
                <w:sz w:val="24"/>
                <w:szCs w:val="24"/>
              </w:rPr>
            </w:pPr>
          </w:p>
        </w:tc>
        <w:tc>
          <w:tcPr>
            <w:tcW w:w="1810" w:type="dxa"/>
          </w:tcPr>
          <w:p w14:paraId="0F820C13" w14:textId="184349CD" w:rsidR="00825AD5" w:rsidRPr="001B0CDB" w:rsidRDefault="00825AD5" w:rsidP="00825AD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70F3A4FA" w14:textId="20926A5F" w:rsidR="001C6519" w:rsidRPr="001C6519" w:rsidRDefault="001C6519" w:rsidP="001C6519">
            <w:pPr>
              <w:pStyle w:val="Heading1"/>
              <w:shd w:val="clear" w:color="auto" w:fill="FCFCFC"/>
              <w:spacing w:before="0" w:after="240"/>
              <w:jc w:val="center"/>
              <w:outlineLvl w:val="0"/>
              <w:rPr>
                <w:rFonts w:ascii="PT Sans" w:hAnsi="PT Sans"/>
                <w:color w:val="auto"/>
              </w:rPr>
            </w:pPr>
            <w:r w:rsidRPr="001C6519">
              <w:rPr>
                <w:rStyle w:val="field"/>
                <w:rFonts w:ascii="PT Sans" w:hAnsi="PT Sans"/>
                <w:color w:val="auto"/>
              </w:rPr>
              <w:t>The Penguin Dictionary of Curious and Interesting Numbers</w:t>
            </w:r>
          </w:p>
          <w:p w14:paraId="5F4B7502" w14:textId="2743D94A" w:rsidR="001C6519" w:rsidRPr="001C6519" w:rsidRDefault="001C6519" w:rsidP="001C6519">
            <w:pPr>
              <w:shd w:val="clear" w:color="auto" w:fill="FCFCFC"/>
              <w:textAlignment w:val="top"/>
              <w:rPr>
                <w:rFonts w:ascii="PT Sans" w:eastAsia="Times New Roman" w:hAnsi="PT Sans" w:cs="Times New Roman"/>
                <w:b/>
                <w:bCs/>
                <w:sz w:val="24"/>
                <w:szCs w:val="24"/>
                <w:lang w:eastAsia="en-GB"/>
              </w:rPr>
            </w:pPr>
            <w:r w:rsidRPr="001C6519">
              <w:rPr>
                <w:rFonts w:ascii="PT Sans" w:eastAsia="Times New Roman" w:hAnsi="PT Sans" w:cs="Times New Roman"/>
                <w:b/>
                <w:bCs/>
                <w:sz w:val="24"/>
                <w:szCs w:val="24"/>
                <w:lang w:eastAsia="en-GB"/>
              </w:rPr>
              <w:t>Author</w:t>
            </w:r>
          </w:p>
          <w:p w14:paraId="6CD4ADA2" w14:textId="77777777" w:rsidR="001C6519" w:rsidRPr="001C6519" w:rsidRDefault="001C6519" w:rsidP="001C6519">
            <w:pPr>
              <w:shd w:val="clear" w:color="auto" w:fill="FCFCFC"/>
              <w:textAlignment w:val="top"/>
              <w:rPr>
                <w:rFonts w:ascii="PT Sans" w:eastAsia="Times New Roman" w:hAnsi="PT Sans" w:cs="Times New Roman"/>
                <w:sz w:val="24"/>
                <w:szCs w:val="24"/>
                <w:lang w:eastAsia="en-GB"/>
              </w:rPr>
            </w:pPr>
            <w:r w:rsidRPr="001C6519">
              <w:rPr>
                <w:rFonts w:ascii="PT Sans" w:eastAsia="Times New Roman" w:hAnsi="PT Sans" w:cs="Times New Roman"/>
                <w:sz w:val="24"/>
                <w:szCs w:val="24"/>
                <w:lang w:eastAsia="en-GB"/>
              </w:rPr>
              <w:t>David Wells</w:t>
            </w:r>
          </w:p>
          <w:p w14:paraId="307B4955" w14:textId="32AD9DE9" w:rsidR="00EF228C" w:rsidRPr="001C6519" w:rsidRDefault="001C6519" w:rsidP="001C6519">
            <w:pPr>
              <w:shd w:val="clear" w:color="auto" w:fill="FCFCFC"/>
              <w:spacing w:before="100" w:beforeAutospacing="1"/>
              <w:rPr>
                <w:rFonts w:ascii="PT Sans" w:eastAsia="Times New Roman" w:hAnsi="PT Sans" w:cs="Times New Roman"/>
                <w:color w:val="404040"/>
                <w:sz w:val="24"/>
                <w:szCs w:val="24"/>
                <w:lang w:eastAsia="en-GB"/>
              </w:rPr>
            </w:pPr>
            <w:r w:rsidRPr="001C6519">
              <w:rPr>
                <w:rFonts w:ascii="PT Sans" w:eastAsia="Times New Roman" w:hAnsi="PT Sans" w:cs="Times New Roman"/>
                <w:sz w:val="24"/>
                <w:szCs w:val="24"/>
                <w:lang w:eastAsia="en-GB"/>
              </w:rPr>
              <w:t>Look up 1729 to see why it is 'among the most famous of all numbers'. Look up 0.7404 () to discover that this is the density of closely packed identical spheres in what is believed by many mathematicians (though it was at that time an unproven hypothesis) and is known by all physicists and greengrocers to be the optimal packing. Look up Graham's number (the last one in the book), which is inconceivably big: even written as a tower of powers () it would take up far more ink than could be made from all the atoms in the universe. It is an upper bound for a quantity in Ramsey theory whose actual value is believed to be about 6. A book to be dipped into at leisure.</w:t>
            </w:r>
            <w:r w:rsidR="0018717F">
              <w:rPr>
                <w:rFonts w:ascii="PT Sans" w:eastAsia="Times New Roman" w:hAnsi="PT Sans" w:cs="Times New Roman"/>
                <w:sz w:val="24"/>
                <w:szCs w:val="24"/>
                <w:lang w:eastAsia="en-GB"/>
              </w:rPr>
              <w:t xml:space="preserve"> </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FB1BE6"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FB1BE6"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FB1BE6"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FB1BE6"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FB1BE6"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FB1BE6"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FB1BE6"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FB1BE6"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FB1BE6"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CAD222B" w:rsidR="0074569D" w:rsidRDefault="00FB1BE6"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r w:rsidR="00861863">
              <w:rPr>
                <w:rStyle w:val="Hyperlink"/>
                <w:rFonts w:ascii="Verdana" w:hAnsi="Verdana" w:cs="Calibri"/>
                <w:bdr w:val="none" w:sz="0" w:space="0" w:color="auto" w:frame="1"/>
              </w:rPr>
              <w:t xml:space="preserve"> </w:t>
            </w:r>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C65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8717F"/>
    <w:rsid w:val="001B080A"/>
    <w:rsid w:val="001B0CDB"/>
    <w:rsid w:val="001C6519"/>
    <w:rsid w:val="001E615B"/>
    <w:rsid w:val="00241770"/>
    <w:rsid w:val="002A7367"/>
    <w:rsid w:val="003144AD"/>
    <w:rsid w:val="003A1B47"/>
    <w:rsid w:val="004141AA"/>
    <w:rsid w:val="004212E6"/>
    <w:rsid w:val="0044451F"/>
    <w:rsid w:val="00455F38"/>
    <w:rsid w:val="004E508E"/>
    <w:rsid w:val="0055131B"/>
    <w:rsid w:val="005B34CD"/>
    <w:rsid w:val="005C2ADA"/>
    <w:rsid w:val="005C491C"/>
    <w:rsid w:val="00600D14"/>
    <w:rsid w:val="006012BB"/>
    <w:rsid w:val="006275BE"/>
    <w:rsid w:val="006E3556"/>
    <w:rsid w:val="0074569D"/>
    <w:rsid w:val="00773CFD"/>
    <w:rsid w:val="00783A14"/>
    <w:rsid w:val="007E5C02"/>
    <w:rsid w:val="0082039C"/>
    <w:rsid w:val="00825AD5"/>
    <w:rsid w:val="00831BCF"/>
    <w:rsid w:val="00861863"/>
    <w:rsid w:val="008D477B"/>
    <w:rsid w:val="008F6C26"/>
    <w:rsid w:val="00920585"/>
    <w:rsid w:val="009352F5"/>
    <w:rsid w:val="009C031C"/>
    <w:rsid w:val="009D0BFB"/>
    <w:rsid w:val="00A64F1E"/>
    <w:rsid w:val="00AD03F7"/>
    <w:rsid w:val="00AF4C1A"/>
    <w:rsid w:val="00B00A2E"/>
    <w:rsid w:val="00B245FA"/>
    <w:rsid w:val="00B71289"/>
    <w:rsid w:val="00C20CB3"/>
    <w:rsid w:val="00C3725F"/>
    <w:rsid w:val="00C4516B"/>
    <w:rsid w:val="00C9000C"/>
    <w:rsid w:val="00C96B26"/>
    <w:rsid w:val="00CD4D82"/>
    <w:rsid w:val="00CD7EAA"/>
    <w:rsid w:val="00D008D5"/>
    <w:rsid w:val="00D76A23"/>
    <w:rsid w:val="00D80643"/>
    <w:rsid w:val="00D944D3"/>
    <w:rsid w:val="00DF0323"/>
    <w:rsid w:val="00E07FDF"/>
    <w:rsid w:val="00E2643B"/>
    <w:rsid w:val="00E619DD"/>
    <w:rsid w:val="00EF228C"/>
    <w:rsid w:val="00EF71F1"/>
    <w:rsid w:val="00F04698"/>
    <w:rsid w:val="00F44C54"/>
    <w:rsid w:val="00F62B57"/>
    <w:rsid w:val="00F84C8D"/>
    <w:rsid w:val="00FB1BE6"/>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1C651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1C6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45869634">
      <w:bodyDiv w:val="1"/>
      <w:marLeft w:val="0"/>
      <w:marRight w:val="0"/>
      <w:marTop w:val="0"/>
      <w:marBottom w:val="0"/>
      <w:divBdr>
        <w:top w:val="none" w:sz="0" w:space="0" w:color="auto"/>
        <w:left w:val="none" w:sz="0" w:space="0" w:color="auto"/>
        <w:bottom w:val="none" w:sz="0" w:space="0" w:color="auto"/>
        <w:right w:val="none" w:sz="0" w:space="0" w:color="auto"/>
      </w:divBdr>
      <w:divsChild>
        <w:div w:id="832527115">
          <w:marLeft w:val="0"/>
          <w:marRight w:val="0"/>
          <w:marTop w:val="240"/>
          <w:marBottom w:val="0"/>
          <w:divBdr>
            <w:top w:val="none" w:sz="0" w:space="0" w:color="auto"/>
            <w:left w:val="none" w:sz="0" w:space="0" w:color="auto"/>
            <w:bottom w:val="none" w:sz="0" w:space="0" w:color="auto"/>
            <w:right w:val="none" w:sz="0" w:space="0" w:color="auto"/>
          </w:divBdr>
          <w:divsChild>
            <w:div w:id="50227423">
              <w:marLeft w:val="0"/>
              <w:marRight w:val="0"/>
              <w:marTop w:val="0"/>
              <w:marBottom w:val="0"/>
              <w:divBdr>
                <w:top w:val="none" w:sz="0" w:space="0" w:color="auto"/>
                <w:left w:val="none" w:sz="0" w:space="0" w:color="auto"/>
                <w:bottom w:val="none" w:sz="0" w:space="0" w:color="auto"/>
                <w:right w:val="none" w:sz="0" w:space="0" w:color="auto"/>
              </w:divBdr>
            </w:div>
            <w:div w:id="1576470319">
              <w:marLeft w:val="0"/>
              <w:marRight w:val="0"/>
              <w:marTop w:val="0"/>
              <w:marBottom w:val="0"/>
              <w:divBdr>
                <w:top w:val="none" w:sz="0" w:space="0" w:color="auto"/>
                <w:left w:val="none" w:sz="0" w:space="0" w:color="auto"/>
                <w:bottom w:val="none" w:sz="0" w:space="0" w:color="auto"/>
                <w:right w:val="none" w:sz="0" w:space="0" w:color="auto"/>
              </w:divBdr>
            </w:div>
          </w:divsChild>
        </w:div>
        <w:div w:id="1018120191">
          <w:marLeft w:val="0"/>
          <w:marRight w:val="0"/>
          <w:marTop w:val="240"/>
          <w:marBottom w:val="0"/>
          <w:divBdr>
            <w:top w:val="none" w:sz="0" w:space="0" w:color="auto"/>
            <w:left w:val="none" w:sz="0" w:space="0" w:color="auto"/>
            <w:bottom w:val="none" w:sz="0" w:space="0" w:color="auto"/>
            <w:right w:val="none" w:sz="0" w:space="0" w:color="auto"/>
          </w:divBdr>
          <w:divsChild>
            <w:div w:id="1427461040">
              <w:marLeft w:val="0"/>
              <w:marRight w:val="0"/>
              <w:marTop w:val="0"/>
              <w:marBottom w:val="0"/>
              <w:divBdr>
                <w:top w:val="none" w:sz="0" w:space="0" w:color="auto"/>
                <w:left w:val="none" w:sz="0" w:space="0" w:color="auto"/>
                <w:bottom w:val="none" w:sz="0" w:space="0" w:color="auto"/>
                <w:right w:val="none" w:sz="0" w:space="0" w:color="auto"/>
              </w:divBdr>
            </w:div>
            <w:div w:id="846941638">
              <w:marLeft w:val="0"/>
              <w:marRight w:val="0"/>
              <w:marTop w:val="0"/>
              <w:marBottom w:val="0"/>
              <w:divBdr>
                <w:top w:val="none" w:sz="0" w:space="0" w:color="auto"/>
                <w:left w:val="none" w:sz="0" w:space="0" w:color="auto"/>
                <w:bottom w:val="none" w:sz="0" w:space="0" w:color="auto"/>
                <w:right w:val="none" w:sz="0" w:space="0" w:color="auto"/>
              </w:divBdr>
            </w:div>
          </w:divsChild>
        </w:div>
        <w:div w:id="453331882">
          <w:marLeft w:val="0"/>
          <w:marRight w:val="0"/>
          <w:marTop w:val="240"/>
          <w:marBottom w:val="0"/>
          <w:divBdr>
            <w:top w:val="none" w:sz="0" w:space="0" w:color="auto"/>
            <w:left w:val="none" w:sz="0" w:space="0" w:color="auto"/>
            <w:bottom w:val="none" w:sz="0" w:space="0" w:color="auto"/>
            <w:right w:val="none" w:sz="0" w:space="0" w:color="auto"/>
          </w:divBdr>
        </w:div>
      </w:divsChild>
    </w:div>
    <w:div w:id="214122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609</Words>
  <Characters>3472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3</cp:revision>
  <dcterms:created xsi:type="dcterms:W3CDTF">2026-01-05T15:23:00Z</dcterms:created>
  <dcterms:modified xsi:type="dcterms:W3CDTF">2026-01-05T15:29:00Z</dcterms:modified>
</cp:coreProperties>
</file>