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EC2823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C16C8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3E6C929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B3818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4B5937FF" w:rsidR="00B245FA" w:rsidRPr="00B245FA" w:rsidRDefault="003C16C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 and Ross Graham</w:t>
            </w:r>
          </w:p>
        </w:tc>
      </w:tr>
      <w:tr w:rsidR="00B245FA" w:rsidRPr="00B245FA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151CC055" w14:textId="3DEE959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Secondary Ready: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1AD467EA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2C7952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6032C8" w:rsidRPr="008A0EA5">
              <w:rPr>
                <w:rFonts w:cstheme="minorHAnsi"/>
                <w:sz w:val="24"/>
                <w:szCs w:val="24"/>
              </w:rPr>
              <w:t xml:space="preserve"> </w:t>
            </w:r>
            <w:r w:rsidR="006032C8" w:rsidRPr="008A0EA5">
              <w:rPr>
                <w:rFonts w:cstheme="minorHAnsi"/>
                <w:sz w:val="24"/>
                <w:szCs w:val="24"/>
              </w:rPr>
              <w:t>Through exploring factor and product relationships, commutativity and distribution, students will develop their understanding of multiplication and division</w:t>
            </w:r>
            <w:r w:rsidR="006032C8">
              <w:rPr>
                <w:rFonts w:cstheme="minorHAnsi"/>
                <w:sz w:val="24"/>
                <w:szCs w:val="24"/>
              </w:rPr>
              <w:t xml:space="preserve">. We will then </w:t>
            </w:r>
            <w:r w:rsidR="006032C8" w:rsidRPr="002F1BB7">
              <w:rPr>
                <w:rFonts w:cstheme="minorHAnsi"/>
                <w:sz w:val="24"/>
                <w:szCs w:val="24"/>
              </w:rPr>
              <w:t>explore fractions as parts of one whole; parts of a whole as many; a number in relation to other numbers; and the functional relationship between two objects. Students will develop their understanding of fractions, building on their' knowledge</w:t>
            </w:r>
            <w:r w:rsidR="006032C8">
              <w:rPr>
                <w:rFonts w:cstheme="minorHAnsi"/>
                <w:sz w:val="24"/>
                <w:szCs w:val="24"/>
              </w:rPr>
              <w:t xml:space="preserve"> of</w:t>
            </w:r>
            <w:r w:rsidR="006032C8" w:rsidRPr="002F1BB7">
              <w:rPr>
                <w:rFonts w:cstheme="minorHAnsi"/>
                <w:sz w:val="24"/>
                <w:szCs w:val="24"/>
              </w:rPr>
              <w:t xml:space="preserve"> multiplicative relationships. The structures, rather than the solutions, </w:t>
            </w:r>
            <w:r w:rsidR="006032C8">
              <w:rPr>
                <w:rFonts w:cstheme="minorHAnsi"/>
                <w:sz w:val="24"/>
                <w:szCs w:val="24"/>
              </w:rPr>
              <w:t>will</w:t>
            </w:r>
            <w:r w:rsidR="006032C8" w:rsidRPr="002F1BB7">
              <w:rPr>
                <w:rFonts w:cstheme="minorHAnsi"/>
                <w:sz w:val="24"/>
                <w:szCs w:val="24"/>
              </w:rPr>
              <w:t xml:space="preserve"> remain the focus throughout.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D87A62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D87A62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8B3818" w:rsidRPr="00D76A23" w14:paraId="23095E5E" w14:textId="4951FCFA" w:rsidTr="008A20EB">
        <w:trPr>
          <w:trHeight w:val="60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1819FA16" w14:textId="61C9A01E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3785556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division can be </w:t>
            </w:r>
            <w:proofErr w:type="spellStart"/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quotitive</w:t>
            </w:r>
            <w:proofErr w:type="spellEnd"/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(where we know the group size) or partitive (where we know how many to share between)</w:t>
            </w:r>
          </w:p>
        </w:tc>
        <w:tc>
          <w:tcPr>
            <w:tcW w:w="755" w:type="pct"/>
          </w:tcPr>
          <w:p w14:paraId="6EB5C03B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20E7B2C4" w14:textId="34357C51" w:rsidTr="008A20EB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012DE87C" w14:textId="0AA08689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623DDA3A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that the multiplicative relationship means we can use multiplication facts to know related division facts</w:t>
            </w:r>
          </w:p>
        </w:tc>
        <w:tc>
          <w:tcPr>
            <w:tcW w:w="755" w:type="pct"/>
          </w:tcPr>
          <w:p w14:paraId="0AAEA2C2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6362422B" w14:textId="084FAD9C" w:rsidTr="008B3818">
        <w:trPr>
          <w:trHeight w:val="67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6F4A1004" w14:textId="3B9C93A5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3917D472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to put information into a ratio table to solve problems</w:t>
            </w:r>
          </w:p>
        </w:tc>
        <w:tc>
          <w:tcPr>
            <w:tcW w:w="755" w:type="pct"/>
          </w:tcPr>
          <w:p w14:paraId="5E0DA5E3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182DD407" w14:textId="3297C639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21057BD1" w14:textId="1DE2D5F0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3B2A0D32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unit fractions as division of a whole into equal parts, including where parts are equal but not congruent.</w:t>
            </w:r>
          </w:p>
        </w:tc>
        <w:tc>
          <w:tcPr>
            <w:tcW w:w="755" w:type="pct"/>
          </w:tcPr>
          <w:p w14:paraId="75F11CA3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381B7F2A" w14:textId="599C9EF1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795ECAB7" w14:textId="22362691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57490E01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the denominator of the fraction indicates the size of the equal parts in the fraction.</w:t>
            </w:r>
          </w:p>
        </w:tc>
        <w:tc>
          <w:tcPr>
            <w:tcW w:w="755" w:type="pct"/>
          </w:tcPr>
          <w:p w14:paraId="01FEBC50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45D30844" w14:textId="465AF19A" w:rsidTr="00B203D9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0C35C72" w14:textId="12723C01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28AB2A36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the numerator of the fraction indicates the number of equal parts in the fraction.</w:t>
            </w:r>
          </w:p>
        </w:tc>
        <w:tc>
          <w:tcPr>
            <w:tcW w:w="755" w:type="pct"/>
          </w:tcPr>
          <w:p w14:paraId="05659086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1C2CEDAC" w14:textId="43776727" w:rsidTr="00B203D9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74E6380E" w14:textId="4374B619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497F1808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all unit and non-unit fractions are numbers than can be placed on a number line.</w:t>
            </w:r>
          </w:p>
        </w:tc>
        <w:tc>
          <w:tcPr>
            <w:tcW w:w="755" w:type="pct"/>
          </w:tcPr>
          <w:p w14:paraId="7B468D5F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728EE60D" w14:textId="071B5C43" w:rsidTr="00B203D9">
        <w:trPr>
          <w:trHeight w:val="69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7D7D3B7" w14:textId="6F7ABEB6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54863557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denominators can be used to compare fractions.</w:t>
            </w:r>
          </w:p>
        </w:tc>
        <w:tc>
          <w:tcPr>
            <w:tcW w:w="755" w:type="pct"/>
          </w:tcPr>
          <w:p w14:paraId="1D210E12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121309D9" w14:textId="0EF5C9CA" w:rsidTr="00B203D9">
        <w:trPr>
          <w:trHeight w:val="65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DB0DE66" w14:textId="52F33FF5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3BB9293E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numerators can be used to compare fractions.</w:t>
            </w:r>
          </w:p>
        </w:tc>
        <w:tc>
          <w:tcPr>
            <w:tcW w:w="755" w:type="pct"/>
          </w:tcPr>
          <w:p w14:paraId="14166C59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B3818" w:rsidRPr="00D76A23" w14:paraId="33B3875F" w14:textId="77777777" w:rsidTr="00B203D9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2817A88" w14:textId="58E96CF3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496FF2CF" w:rsidR="008B3818" w:rsidRPr="008B3818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fractions can be compared when they don’t have a common numerator or denominator.</w:t>
            </w:r>
          </w:p>
        </w:tc>
        <w:tc>
          <w:tcPr>
            <w:tcW w:w="755" w:type="pct"/>
          </w:tcPr>
          <w:p w14:paraId="5C295E97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8B3818" w:rsidRPr="00D76A23" w:rsidRDefault="008B3818" w:rsidP="008B38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3A343133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Whole</w:t>
            </w:r>
          </w:p>
        </w:tc>
        <w:tc>
          <w:tcPr>
            <w:tcW w:w="2036" w:type="dxa"/>
          </w:tcPr>
          <w:p w14:paraId="55C298C8" w14:textId="5229A01F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</w:t>
            </w:r>
          </w:p>
        </w:tc>
        <w:tc>
          <w:tcPr>
            <w:tcW w:w="2094" w:type="dxa"/>
          </w:tcPr>
          <w:p w14:paraId="256C2014" w14:textId="21D6555E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Numerator</w:t>
            </w:r>
          </w:p>
        </w:tc>
        <w:tc>
          <w:tcPr>
            <w:tcW w:w="2178" w:type="dxa"/>
          </w:tcPr>
          <w:p w14:paraId="40175690" w14:textId="4B41F53C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1810" w:type="dxa"/>
          </w:tcPr>
          <w:p w14:paraId="5A60AE19" w14:textId="7E7AF465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Divisor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1CC45C02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Dividend</w:t>
            </w:r>
          </w:p>
        </w:tc>
        <w:tc>
          <w:tcPr>
            <w:tcW w:w="2036" w:type="dxa"/>
          </w:tcPr>
          <w:p w14:paraId="2E7435A3" w14:textId="7C9854AB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Division</w:t>
            </w:r>
          </w:p>
        </w:tc>
        <w:tc>
          <w:tcPr>
            <w:tcW w:w="2094" w:type="dxa"/>
          </w:tcPr>
          <w:p w14:paraId="3B3A6B22" w14:textId="5C0F8F33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Equal</w:t>
            </w:r>
          </w:p>
        </w:tc>
        <w:tc>
          <w:tcPr>
            <w:tcW w:w="2178" w:type="dxa"/>
          </w:tcPr>
          <w:p w14:paraId="4B2CC4AD" w14:textId="7673E94D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Congruent</w:t>
            </w:r>
          </w:p>
        </w:tc>
        <w:tc>
          <w:tcPr>
            <w:tcW w:w="1810" w:type="dxa"/>
          </w:tcPr>
          <w:p w14:paraId="0F820C13" w14:textId="3B69D8E4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Accuracy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8A0EA5">
        <w:trPr>
          <w:trHeight w:val="3977"/>
        </w:trPr>
        <w:tc>
          <w:tcPr>
            <w:tcW w:w="10485" w:type="dxa"/>
          </w:tcPr>
          <w:p w14:paraId="56E4707D" w14:textId="77777777" w:rsidR="008B3818" w:rsidRDefault="008B3818" w:rsidP="008B3818">
            <w:r w:rsidRPr="008A0EA5">
              <w:rPr>
                <w:rFonts w:ascii="Verdana" w:hAnsi="Verdana"/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76609BB0" wp14:editId="7341A2EC">
                  <wp:simplePos x="0" y="0"/>
                  <wp:positionH relativeFrom="column">
                    <wp:posOffset>-13123</wp:posOffset>
                  </wp:positionH>
                  <wp:positionV relativeFrom="paragraph">
                    <wp:posOffset>144568</wp:posOffset>
                  </wp:positionV>
                  <wp:extent cx="2263775" cy="2209800"/>
                  <wp:effectExtent l="0" t="0" r="3175" b="0"/>
                  <wp:wrapThrough wrapText="bothSides">
                    <wp:wrapPolygon edited="0">
                      <wp:start x="0" y="0"/>
                      <wp:lineTo x="0" y="21414"/>
                      <wp:lineTo x="21449" y="21414"/>
                      <wp:lineTo x="21449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77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BC3F1C" w14:textId="77777777" w:rsidR="008B3818" w:rsidRDefault="008B3818" w:rsidP="008B3818">
            <w:pPr>
              <w:pStyle w:val="Heading1"/>
              <w:shd w:val="clear" w:color="auto" w:fill="FCFCFC"/>
              <w:spacing w:before="0" w:after="240"/>
              <w:outlineLvl w:val="0"/>
              <w:rPr>
                <w:rStyle w:val="field"/>
                <w:rFonts w:ascii="Arial" w:hAnsi="Arial" w:cs="Arial"/>
                <w:b/>
                <w:bCs/>
                <w:color w:val="404040"/>
                <w:sz w:val="28"/>
                <w:szCs w:val="28"/>
              </w:rPr>
            </w:pPr>
            <w:r w:rsidRPr="008A0EA5">
              <w:rPr>
                <w:rStyle w:val="field"/>
                <w:rFonts w:ascii="Arial" w:hAnsi="Arial" w:cs="Arial"/>
                <w:b/>
                <w:bCs/>
                <w:color w:val="404040"/>
                <w:sz w:val="28"/>
                <w:szCs w:val="28"/>
              </w:rPr>
              <w:t>On a Beam of Light: A Story of Albert Einstein</w:t>
            </w:r>
          </w:p>
          <w:p w14:paraId="14CDC488" w14:textId="77777777" w:rsidR="008B3818" w:rsidRPr="008A0EA5" w:rsidRDefault="008B3818" w:rsidP="008B3818">
            <w:pPr>
              <w:shd w:val="clear" w:color="auto" w:fill="FCFCFC"/>
              <w:textAlignment w:val="top"/>
              <w:rPr>
                <w:rFonts w:ascii="PT Sans" w:eastAsia="Times New Roman" w:hAnsi="PT Sans" w:cs="Times New Roman"/>
                <w:b/>
                <w:bCs/>
                <w:color w:val="404040"/>
                <w:sz w:val="24"/>
                <w:szCs w:val="24"/>
                <w:lang w:eastAsia="en-GB"/>
              </w:rPr>
            </w:pPr>
            <w:r w:rsidRPr="008A0EA5">
              <w:rPr>
                <w:rFonts w:ascii="PT Sans" w:eastAsia="Times New Roman" w:hAnsi="PT Sans" w:cs="Times New Roman"/>
                <w:b/>
                <w:bCs/>
                <w:color w:val="404040"/>
                <w:sz w:val="24"/>
                <w:szCs w:val="24"/>
                <w:lang w:eastAsia="en-GB"/>
              </w:rPr>
              <w:t>Author</w:t>
            </w:r>
          </w:p>
          <w:p w14:paraId="34F94117" w14:textId="77777777" w:rsidR="008B3818" w:rsidRPr="008A0EA5" w:rsidRDefault="008B3818" w:rsidP="008B3818">
            <w:pPr>
              <w:shd w:val="clear" w:color="auto" w:fill="FCFCFC"/>
              <w:textAlignment w:val="top"/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</w:pPr>
            <w:r w:rsidRPr="008A0EA5"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  <w:t xml:space="preserve">Jennifer Berne (author), Vladimir </w:t>
            </w:r>
            <w:proofErr w:type="spellStart"/>
            <w:r w:rsidRPr="008A0EA5"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  <w:t>Radunsky</w:t>
            </w:r>
            <w:proofErr w:type="spellEnd"/>
            <w:r w:rsidRPr="008A0EA5"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  <w:t xml:space="preserve"> (illustrator)</w:t>
            </w:r>
          </w:p>
          <w:p w14:paraId="5942E539" w14:textId="77777777" w:rsidR="008B3818" w:rsidRPr="008A0EA5" w:rsidRDefault="008B3818" w:rsidP="008B3818">
            <w:pPr>
              <w:shd w:val="clear" w:color="auto" w:fill="FCFCFC"/>
              <w:spacing w:before="100" w:beforeAutospacing="1"/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</w:pPr>
            <w:r w:rsidRPr="008A0EA5">
              <w:rPr>
                <w:rFonts w:ascii="PT Sans" w:eastAsia="Times New Roman" w:hAnsi="PT Sans" w:cs="Times New Roman"/>
                <w:color w:val="404040"/>
                <w:sz w:val="24"/>
                <w:szCs w:val="24"/>
                <w:lang w:eastAsia="en-GB"/>
              </w:rPr>
              <w:t>Travel along with Einstein on a journey full of curiosity, laughter, and scientific discovery. Parents and children alike will appreciate this moving story of the powerful difference imagination can make in any life.</w:t>
            </w:r>
          </w:p>
          <w:p w14:paraId="307B4955" w14:textId="51B2E412" w:rsidR="00EF228C" w:rsidRPr="00532256" w:rsidRDefault="00EF228C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3C16C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3C16C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3C16C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3C16C8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3C16C8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3C16C8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3C16C8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3C16C8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3C16C8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3C16C8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F3D2E"/>
    <w:multiLevelType w:val="hybridMultilevel"/>
    <w:tmpl w:val="B562024E"/>
    <w:lvl w:ilvl="0" w:tplc="AA6A2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D0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05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98D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289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9CC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41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F84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68E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811343"/>
    <w:multiLevelType w:val="hybridMultilevel"/>
    <w:tmpl w:val="2EB6626A"/>
    <w:lvl w:ilvl="0" w:tplc="01FED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B6A5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0A5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A3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488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83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5C4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40D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E5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9081B"/>
    <w:multiLevelType w:val="hybridMultilevel"/>
    <w:tmpl w:val="5D8E7F0E"/>
    <w:lvl w:ilvl="0" w:tplc="A1246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A4D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369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66E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B4D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263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A6C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FA6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4BB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5661DA5"/>
    <w:multiLevelType w:val="hybridMultilevel"/>
    <w:tmpl w:val="F7283E72"/>
    <w:lvl w:ilvl="0" w:tplc="F04E5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6F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2E2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F26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20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9EC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428A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C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5E9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55E338C"/>
    <w:multiLevelType w:val="hybridMultilevel"/>
    <w:tmpl w:val="656A07C2"/>
    <w:lvl w:ilvl="0" w:tplc="0FDE2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CC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E04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066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96D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42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A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81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7A3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76B31A1"/>
    <w:multiLevelType w:val="hybridMultilevel"/>
    <w:tmpl w:val="5418AA08"/>
    <w:lvl w:ilvl="0" w:tplc="86280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43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AAD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5EE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609C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21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4E0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129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2EA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6C36076"/>
    <w:multiLevelType w:val="hybridMultilevel"/>
    <w:tmpl w:val="D200C00A"/>
    <w:lvl w:ilvl="0" w:tplc="EEA4B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04B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ECA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84B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F40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65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46F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967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226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06B88"/>
    <w:rsid w:val="00241770"/>
    <w:rsid w:val="002A7367"/>
    <w:rsid w:val="002C7952"/>
    <w:rsid w:val="002F1BB7"/>
    <w:rsid w:val="003144AD"/>
    <w:rsid w:val="003C16C8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032C8"/>
    <w:rsid w:val="006E3556"/>
    <w:rsid w:val="0074569D"/>
    <w:rsid w:val="00773CFD"/>
    <w:rsid w:val="00783A14"/>
    <w:rsid w:val="007E5C02"/>
    <w:rsid w:val="0082039C"/>
    <w:rsid w:val="00825AD5"/>
    <w:rsid w:val="00831BCF"/>
    <w:rsid w:val="008A0EA5"/>
    <w:rsid w:val="008B3818"/>
    <w:rsid w:val="008D477B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BB378E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54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6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39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25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539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24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2025-12-17T22:34:00Z</dcterms:created>
  <dcterms:modified xsi:type="dcterms:W3CDTF">2025-12-17T22:34:00Z</dcterms:modified>
</cp:coreProperties>
</file>