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970865" w:rsidRPr="00B245FA" w14:paraId="37C69A82" w14:textId="77777777" w:rsidTr="008D1DE0">
        <w:trPr>
          <w:trHeight w:val="557"/>
        </w:trPr>
        <w:tc>
          <w:tcPr>
            <w:tcW w:w="5439" w:type="dxa"/>
            <w:gridSpan w:val="2"/>
          </w:tcPr>
          <w:p w14:paraId="259102D5" w14:textId="3D44E0C2" w:rsidR="00970865" w:rsidRPr="00B245FA" w:rsidRDefault="00970865" w:rsidP="008D1DE0">
            <w:pPr>
              <w:rPr>
                <w:rFonts w:ascii="Verdana" w:hAnsi="Verdana"/>
                <w:b/>
                <w:bCs/>
                <w:sz w:val="24"/>
                <w:szCs w:val="24"/>
              </w:rPr>
            </w:pPr>
            <w:r w:rsidRPr="2D8F8B8D">
              <w:rPr>
                <w:rFonts w:ascii="Verdana" w:hAnsi="Verdana"/>
                <w:b/>
                <w:bCs/>
                <w:sz w:val="24"/>
                <w:szCs w:val="24"/>
              </w:rPr>
              <w:t xml:space="preserve">Group: </w:t>
            </w:r>
            <w:r w:rsidR="00070218">
              <w:rPr>
                <w:rFonts w:ascii="Verdana" w:hAnsi="Verdana"/>
                <w:b/>
                <w:bCs/>
                <w:sz w:val="24"/>
                <w:szCs w:val="24"/>
              </w:rPr>
              <w:t>B14 and B15</w:t>
            </w:r>
          </w:p>
        </w:tc>
        <w:tc>
          <w:tcPr>
            <w:tcW w:w="1813" w:type="dxa"/>
          </w:tcPr>
          <w:p w14:paraId="4726710E" w14:textId="77777777" w:rsidR="00970865" w:rsidRPr="00B245FA" w:rsidRDefault="00970865" w:rsidP="008D1DE0">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28CC1176" w14:textId="325E909F" w:rsidR="00970865" w:rsidRPr="00B245FA" w:rsidRDefault="00970865" w:rsidP="008D1DE0">
            <w:pPr>
              <w:rPr>
                <w:rFonts w:ascii="Verdana" w:hAnsi="Verdana"/>
                <w:b/>
                <w:bCs/>
                <w:sz w:val="24"/>
                <w:szCs w:val="24"/>
              </w:rPr>
            </w:pPr>
            <w:r w:rsidRPr="1A24CEC3">
              <w:rPr>
                <w:rFonts w:ascii="Verdana" w:hAnsi="Verdana"/>
                <w:b/>
                <w:bCs/>
                <w:sz w:val="24"/>
                <w:szCs w:val="24"/>
              </w:rPr>
              <w:t>Term</w:t>
            </w:r>
            <w:r>
              <w:rPr>
                <w:rFonts w:ascii="Verdana" w:hAnsi="Verdana"/>
                <w:b/>
                <w:bCs/>
                <w:sz w:val="24"/>
                <w:szCs w:val="24"/>
              </w:rPr>
              <w:t xml:space="preserve"> 2</w:t>
            </w:r>
          </w:p>
        </w:tc>
      </w:tr>
      <w:tr w:rsidR="00970865" w:rsidRPr="00B245FA" w14:paraId="1232B2AE" w14:textId="77777777" w:rsidTr="008D1DE0">
        <w:trPr>
          <w:trHeight w:val="412"/>
        </w:trPr>
        <w:tc>
          <w:tcPr>
            <w:tcW w:w="9065" w:type="dxa"/>
            <w:gridSpan w:val="4"/>
          </w:tcPr>
          <w:p w14:paraId="5922415F" w14:textId="5D65F4CC" w:rsidR="00970865" w:rsidRPr="00B245FA" w:rsidRDefault="00970865" w:rsidP="008D1DE0">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  </w:t>
            </w:r>
            <w:r w:rsidR="00070218">
              <w:rPr>
                <w:rFonts w:ascii="Verdana" w:hAnsi="Verdana"/>
                <w:b/>
                <w:bCs/>
                <w:sz w:val="24"/>
                <w:szCs w:val="24"/>
              </w:rPr>
              <w:t>Amanda Grego and Nayna Kennedy</w:t>
            </w:r>
          </w:p>
        </w:tc>
      </w:tr>
      <w:tr w:rsidR="00970865" w:rsidRPr="00B245FA" w14:paraId="3FB91786" w14:textId="77777777" w:rsidTr="008D1DE0">
        <w:trPr>
          <w:trHeight w:val="500"/>
        </w:trPr>
        <w:tc>
          <w:tcPr>
            <w:tcW w:w="9065" w:type="dxa"/>
            <w:gridSpan w:val="4"/>
          </w:tcPr>
          <w:p w14:paraId="3DFD7688" w14:textId="6A5E6D2D" w:rsidR="00970865" w:rsidRPr="00687AF6" w:rsidRDefault="00970865" w:rsidP="008D1DE0">
            <w:pPr>
              <w:rPr>
                <w:rFonts w:ascii="Verdana" w:hAnsi="Verdana"/>
                <w:b/>
                <w:bCs/>
                <w:sz w:val="24"/>
                <w:szCs w:val="24"/>
              </w:rPr>
            </w:pPr>
            <w:r w:rsidRPr="1A24CEC3">
              <w:rPr>
                <w:rFonts w:ascii="Verdana" w:hAnsi="Verdana"/>
                <w:b/>
                <w:bCs/>
                <w:sz w:val="24"/>
                <w:szCs w:val="24"/>
              </w:rPr>
              <w:t>Curriculum:  Y12</w:t>
            </w:r>
            <w:r>
              <w:rPr>
                <w:rFonts w:ascii="Verdana" w:hAnsi="Verdana"/>
                <w:b/>
                <w:bCs/>
                <w:sz w:val="24"/>
                <w:szCs w:val="24"/>
              </w:rPr>
              <w:t>/13</w:t>
            </w:r>
            <w:r w:rsidRPr="1A24CEC3">
              <w:rPr>
                <w:rFonts w:ascii="Verdana" w:hAnsi="Verdana"/>
                <w:b/>
                <w:bCs/>
                <w:sz w:val="24"/>
                <w:szCs w:val="24"/>
              </w:rPr>
              <w:t xml:space="preserve"> PEA</w:t>
            </w:r>
          </w:p>
        </w:tc>
      </w:tr>
      <w:tr w:rsidR="00970865" w:rsidRPr="00B245FA" w14:paraId="70E4957A" w14:textId="77777777" w:rsidTr="008D1DE0">
        <w:trPr>
          <w:trHeight w:val="500"/>
        </w:trPr>
        <w:tc>
          <w:tcPr>
            <w:tcW w:w="9065" w:type="dxa"/>
            <w:gridSpan w:val="4"/>
          </w:tcPr>
          <w:p w14:paraId="3AC83A89" w14:textId="6816101F" w:rsidR="00970865" w:rsidRDefault="00970865" w:rsidP="008D1DE0">
            <w:pPr>
              <w:rPr>
                <w:rFonts w:ascii="Calibri" w:eastAsia="Calibri" w:hAnsi="Calibri" w:cs="Calibri"/>
                <w:sz w:val="24"/>
                <w:szCs w:val="24"/>
              </w:rPr>
            </w:pPr>
            <w:r w:rsidRPr="009502F7">
              <w:rPr>
                <w:rFonts w:eastAsiaTheme="minorEastAsia"/>
                <w:b/>
                <w:bCs/>
                <w:sz w:val="24"/>
                <w:szCs w:val="24"/>
              </w:rPr>
              <w:t xml:space="preserve">Term focus: </w:t>
            </w:r>
            <w:r w:rsidRPr="009502F7">
              <w:rPr>
                <w:rFonts w:ascii="Calibri" w:hAnsi="Calibri" w:cs="Calibri"/>
                <w:b/>
                <w:bCs/>
                <w:sz w:val="24"/>
                <w:szCs w:val="24"/>
                <w:shd w:val="clear" w:color="auto" w:fill="FFFFFF"/>
              </w:rPr>
              <w:t xml:space="preserve"> </w:t>
            </w:r>
            <w:r>
              <w:rPr>
                <w:rFonts w:ascii="Calibri" w:eastAsia="Calibri" w:hAnsi="Calibri" w:cs="Calibri"/>
                <w:sz w:val="24"/>
                <w:szCs w:val="24"/>
              </w:rPr>
              <w:t>Work experience (HT3) and Considering the Future (HT4)</w:t>
            </w:r>
          </w:p>
          <w:p w14:paraId="2E7A5EDB" w14:textId="77777777" w:rsidR="00970865" w:rsidRPr="009502F7" w:rsidRDefault="00970865" w:rsidP="008D1DE0">
            <w:pPr>
              <w:rPr>
                <w:rFonts w:ascii="Calibri" w:eastAsia="Calibri" w:hAnsi="Calibri" w:cs="Calibri"/>
                <w:b/>
                <w:bCs/>
                <w:sz w:val="24"/>
                <w:szCs w:val="24"/>
              </w:rPr>
            </w:pPr>
          </w:p>
          <w:p w14:paraId="2795BD2B" w14:textId="3A091E08" w:rsidR="00970865" w:rsidRDefault="00970865" w:rsidP="008D1DE0">
            <w:pPr>
              <w:rPr>
                <w:rFonts w:ascii="Calibri" w:hAnsi="Calibri" w:cs="Calibri"/>
                <w:color w:val="242424"/>
                <w:shd w:val="clear" w:color="auto" w:fill="FFFFFF"/>
              </w:rPr>
            </w:pPr>
            <w:r w:rsidRPr="009502F7">
              <w:rPr>
                <w:rFonts w:ascii="Calibri" w:eastAsia="Calibri" w:hAnsi="Calibri" w:cs="Calibri"/>
                <w:b/>
                <w:bCs/>
                <w:sz w:val="24"/>
                <w:szCs w:val="24"/>
              </w:rPr>
              <w:t>End point</w:t>
            </w:r>
            <w:r w:rsidR="009970C3">
              <w:rPr>
                <w:rFonts w:ascii="Calibri" w:eastAsia="Calibri" w:hAnsi="Calibri" w:cs="Calibri"/>
                <w:b/>
                <w:bCs/>
                <w:sz w:val="24"/>
                <w:szCs w:val="24"/>
              </w:rPr>
              <w:t xml:space="preserve"> HT</w:t>
            </w:r>
            <w:r w:rsidR="00CE1855">
              <w:rPr>
                <w:rFonts w:ascii="Calibri" w:eastAsia="Calibri" w:hAnsi="Calibri" w:cs="Calibri"/>
                <w:b/>
                <w:bCs/>
                <w:sz w:val="24"/>
                <w:szCs w:val="24"/>
              </w:rPr>
              <w:t>3</w:t>
            </w:r>
            <w:r w:rsidRPr="009502F7">
              <w:rPr>
                <w:rFonts w:ascii="Calibri" w:eastAsia="Calibri" w:hAnsi="Calibri" w:cs="Calibri"/>
                <w:b/>
                <w:bCs/>
                <w:sz w:val="24"/>
                <w:szCs w:val="24"/>
              </w:rPr>
              <w:t>:</w:t>
            </w:r>
            <w:r>
              <w:rPr>
                <w:rFonts w:ascii="Calibri" w:hAnsi="Calibri" w:cs="Calibri"/>
                <w:color w:val="242424"/>
                <w:shd w:val="clear" w:color="auto" w:fill="FFFFFF"/>
              </w:rPr>
              <w:t xml:space="preserve"> The student has confidently completed their work experience, managed transitions effectively, and produced detailed reflections that demonstrate a clear understanding of workplace skills and their own future career path.</w:t>
            </w:r>
          </w:p>
          <w:p w14:paraId="23366E1C" w14:textId="77777777" w:rsidR="00116313" w:rsidRDefault="00116313" w:rsidP="008D1DE0">
            <w:pPr>
              <w:rPr>
                <w:rFonts w:ascii="Calibri" w:hAnsi="Calibri" w:cs="Calibri"/>
                <w:color w:val="242424"/>
                <w:shd w:val="clear" w:color="auto" w:fill="FFFFFF"/>
              </w:rPr>
            </w:pPr>
          </w:p>
          <w:p w14:paraId="66D2D855" w14:textId="38F12CE8" w:rsidR="00116313" w:rsidRDefault="00116313" w:rsidP="008D1DE0">
            <w:pPr>
              <w:rPr>
                <w:sz w:val="24"/>
                <w:szCs w:val="24"/>
              </w:rPr>
            </w:pPr>
            <w:r w:rsidRPr="00CE1855">
              <w:rPr>
                <w:b/>
                <w:bCs/>
                <w:sz w:val="24"/>
                <w:szCs w:val="24"/>
              </w:rPr>
              <w:t>End point HT 4:</w:t>
            </w:r>
            <w:r>
              <w:rPr>
                <w:sz w:val="24"/>
                <w:szCs w:val="24"/>
              </w:rPr>
              <w:t xml:space="preserve"> </w:t>
            </w:r>
            <w:r>
              <w:t xml:space="preserve"> learners are able to articulate a well-informed, realistic and aspirational progression plan for post-16 and post-Y12 pathways, demonstrating an understanding of local provision, personal strengths and needs, and the support required to achieve successful preparation for adulthood.</w:t>
            </w:r>
          </w:p>
          <w:p w14:paraId="3686EAA5" w14:textId="77777777" w:rsidR="00970865" w:rsidRPr="00907088" w:rsidRDefault="00970865" w:rsidP="008D1DE0">
            <w:pPr>
              <w:rPr>
                <w:rFonts w:ascii="Calibri" w:eastAsia="Calibri" w:hAnsi="Calibri" w:cs="Calibri"/>
                <w:b/>
                <w:bCs/>
                <w:color w:val="000000" w:themeColor="text1"/>
                <w:sz w:val="24"/>
                <w:szCs w:val="24"/>
              </w:rPr>
            </w:pPr>
          </w:p>
        </w:tc>
      </w:tr>
      <w:tr w:rsidR="00116313" w:rsidRPr="00687AF6" w14:paraId="038CF203" w14:textId="77777777" w:rsidTr="008D1DE0">
        <w:trPr>
          <w:trHeight w:val="300"/>
        </w:trPr>
        <w:tc>
          <w:tcPr>
            <w:tcW w:w="2689" w:type="dxa"/>
          </w:tcPr>
          <w:p w14:paraId="3B2C3F18" w14:textId="6D1AD312" w:rsidR="00116313" w:rsidRPr="00116313" w:rsidRDefault="0011631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HT3</w:t>
            </w:r>
          </w:p>
        </w:tc>
        <w:tc>
          <w:tcPr>
            <w:tcW w:w="6376" w:type="dxa"/>
            <w:gridSpan w:val="3"/>
          </w:tcPr>
          <w:p w14:paraId="2B7D5E07" w14:textId="77777777" w:rsidR="00116313" w:rsidRDefault="00116313" w:rsidP="009970C3">
            <w:pPr>
              <w:rPr>
                <w:rFonts w:ascii="Calibri" w:hAnsi="Calibri" w:cs="Calibri"/>
                <w:color w:val="242424"/>
                <w:shd w:val="clear" w:color="auto" w:fill="FFFFFF"/>
              </w:rPr>
            </w:pPr>
          </w:p>
        </w:tc>
      </w:tr>
      <w:tr w:rsidR="009970C3" w:rsidRPr="00687AF6" w14:paraId="3A5B9D94" w14:textId="77777777" w:rsidTr="008D1DE0">
        <w:trPr>
          <w:trHeight w:val="300"/>
        </w:trPr>
        <w:tc>
          <w:tcPr>
            <w:tcW w:w="2689" w:type="dxa"/>
          </w:tcPr>
          <w:p w14:paraId="44A10A07" w14:textId="0DA68199" w:rsidR="009970C3" w:rsidRPr="00116313" w:rsidRDefault="009970C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 xml:space="preserve">Preparing to go on WEx </w:t>
            </w:r>
            <w:r w:rsidR="00CE1855">
              <w:rPr>
                <w:rFonts w:ascii="Calibri" w:hAnsi="Calibri" w:cs="Calibri"/>
                <w:b/>
                <w:bCs/>
                <w:color w:val="242424"/>
                <w:shd w:val="clear" w:color="auto" w:fill="FFFFFF"/>
              </w:rPr>
              <w:t>this</w:t>
            </w:r>
            <w:r w:rsidRPr="00116313">
              <w:rPr>
                <w:rFonts w:ascii="Calibri" w:hAnsi="Calibri" w:cs="Calibri"/>
                <w:b/>
                <w:bCs/>
                <w:color w:val="242424"/>
                <w:shd w:val="clear" w:color="auto" w:fill="FFFFFF"/>
              </w:rPr>
              <w:t xml:space="preserve"> half-term</w:t>
            </w:r>
          </w:p>
        </w:tc>
        <w:tc>
          <w:tcPr>
            <w:tcW w:w="6376" w:type="dxa"/>
            <w:gridSpan w:val="3"/>
          </w:tcPr>
          <w:p w14:paraId="710A7C9E" w14:textId="02B2913F" w:rsidR="009970C3" w:rsidRDefault="009970C3" w:rsidP="009970C3">
            <w:pPr>
              <w:rPr>
                <w:rFonts w:ascii="Calibri" w:hAnsi="Calibri" w:cs="Calibri"/>
                <w:color w:val="242424"/>
                <w:shd w:val="clear" w:color="auto" w:fill="FFFFFF"/>
              </w:rPr>
            </w:pPr>
            <w:r>
              <w:rPr>
                <w:rFonts w:ascii="Calibri" w:hAnsi="Calibri" w:cs="Calibri"/>
                <w:color w:val="242424"/>
                <w:shd w:val="clear" w:color="auto" w:fill="FFFFFF"/>
              </w:rPr>
              <w:t>Explains the correct work experience protocols including health and safety awareness Identifies how to get the most out of going on work experience. Prepares goals for their own work experience. Knows how, when and where they will be going next week. Compiles a list of questions they want answers to . Kenwood Ready to Work booklet</w:t>
            </w:r>
          </w:p>
        </w:tc>
      </w:tr>
      <w:tr w:rsidR="009970C3" w:rsidRPr="00687AF6" w14:paraId="3DAED6E6" w14:textId="77777777" w:rsidTr="008D1DE0">
        <w:trPr>
          <w:trHeight w:val="300"/>
        </w:trPr>
        <w:tc>
          <w:tcPr>
            <w:tcW w:w="2689" w:type="dxa"/>
          </w:tcPr>
          <w:p w14:paraId="623F8548" w14:textId="43A21FF3"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Confidently managing transitions</w:t>
            </w:r>
          </w:p>
        </w:tc>
        <w:tc>
          <w:tcPr>
            <w:tcW w:w="6376" w:type="dxa"/>
            <w:gridSpan w:val="3"/>
          </w:tcPr>
          <w:p w14:paraId="39E913F1" w14:textId="2C3EE2FF"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5AF25F5A" w14:textId="77777777" w:rsidTr="008D1DE0">
        <w:trPr>
          <w:trHeight w:val="300"/>
        </w:trPr>
        <w:tc>
          <w:tcPr>
            <w:tcW w:w="2689" w:type="dxa"/>
          </w:tcPr>
          <w:p w14:paraId="777700EE" w14:textId="1B8EBA6A"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Completing WEx placement </w:t>
            </w:r>
          </w:p>
        </w:tc>
        <w:tc>
          <w:tcPr>
            <w:tcW w:w="6376" w:type="dxa"/>
            <w:gridSpan w:val="3"/>
          </w:tcPr>
          <w:p w14:paraId="2B6BA053" w14:textId="33388DFD"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6FBD40C4" w14:textId="77777777" w:rsidTr="008D1DE0">
        <w:trPr>
          <w:trHeight w:val="300"/>
        </w:trPr>
        <w:tc>
          <w:tcPr>
            <w:tcW w:w="2689" w:type="dxa"/>
          </w:tcPr>
          <w:p w14:paraId="1F40D950" w14:textId="0D91655F"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Completes a weekly reflection  </w:t>
            </w:r>
          </w:p>
        </w:tc>
        <w:tc>
          <w:tcPr>
            <w:tcW w:w="6376" w:type="dxa"/>
            <w:gridSpan w:val="3"/>
          </w:tcPr>
          <w:p w14:paraId="15DD8ED5" w14:textId="42BDE572" w:rsidR="009970C3" w:rsidRDefault="009970C3" w:rsidP="009970C3">
            <w:pPr>
              <w:rPr>
                <w:rFonts w:ascii="Calibri" w:eastAsia="Calibri" w:hAnsi="Calibri" w:cs="Calibri"/>
              </w:rPr>
            </w:pPr>
            <w:r>
              <w:rPr>
                <w:rFonts w:ascii="Calibri" w:hAnsi="Calibri" w:cs="Calibri"/>
                <w:color w:val="242424"/>
                <w:shd w:val="clear" w:color="auto" w:fill="FFFFFF"/>
              </w:rPr>
              <w:t>Links their experience to specific skills or activities. Records In the Unifrog skills section the tangible evidence of their skills, moving them beyond simply saying "I have good communication skills" to being able to say, "I demonstrated effective verbal communication when I had to explain a complex task to another worker, ensuring I was clear, concise, and checked for understanding," which is the language that employers and universities are looking for. Records any new experiences of work in the activities section.</w:t>
            </w:r>
          </w:p>
        </w:tc>
      </w:tr>
      <w:tr w:rsidR="009970C3" w:rsidRPr="00687AF6" w14:paraId="37140BFD" w14:textId="77777777" w:rsidTr="008D1DE0">
        <w:trPr>
          <w:trHeight w:val="300"/>
        </w:trPr>
        <w:tc>
          <w:tcPr>
            <w:tcW w:w="2689" w:type="dxa"/>
          </w:tcPr>
          <w:p w14:paraId="4A6A92AB" w14:textId="5ADCEE18" w:rsidR="009970C3" w:rsidRDefault="009970C3" w:rsidP="009970C3">
            <w:pPr>
              <w:rPr>
                <w:rFonts w:ascii="Calibri" w:eastAsia="Calibri" w:hAnsi="Calibri" w:cs="Calibri"/>
                <w:b/>
                <w:bCs/>
              </w:rPr>
            </w:pPr>
            <w:r>
              <w:rPr>
                <w:rFonts w:ascii="Calibri" w:eastAsia="Calibri" w:hAnsi="Calibri" w:cs="Calibri"/>
                <w:b/>
                <w:bCs/>
              </w:rPr>
              <w:t>HT</w:t>
            </w:r>
            <w:r w:rsidR="00116313">
              <w:rPr>
                <w:rFonts w:ascii="Calibri" w:eastAsia="Calibri" w:hAnsi="Calibri" w:cs="Calibri"/>
                <w:b/>
                <w:bCs/>
              </w:rPr>
              <w:t>4</w:t>
            </w:r>
          </w:p>
        </w:tc>
        <w:tc>
          <w:tcPr>
            <w:tcW w:w="6376" w:type="dxa"/>
            <w:gridSpan w:val="3"/>
          </w:tcPr>
          <w:p w14:paraId="75898083" w14:textId="0B1AEC2C" w:rsidR="009970C3" w:rsidRDefault="009970C3" w:rsidP="009970C3">
            <w:pPr>
              <w:rPr>
                <w:rFonts w:ascii="Calibri" w:eastAsia="Calibri" w:hAnsi="Calibri" w:cs="Calibri"/>
              </w:rPr>
            </w:pPr>
          </w:p>
        </w:tc>
      </w:tr>
      <w:tr w:rsidR="009970C3" w:rsidRPr="00687AF6" w14:paraId="428A518F" w14:textId="77777777" w:rsidTr="008D1DE0">
        <w:trPr>
          <w:trHeight w:val="300"/>
        </w:trPr>
        <w:tc>
          <w:tcPr>
            <w:tcW w:w="2689" w:type="dxa"/>
          </w:tcPr>
          <w:p w14:paraId="171CC00E" w14:textId="5454FBC0" w:rsidR="009970C3" w:rsidRDefault="009970C3" w:rsidP="009970C3">
            <w:pPr>
              <w:rPr>
                <w:rFonts w:ascii="Calibri" w:eastAsia="Calibri" w:hAnsi="Calibri" w:cs="Calibri"/>
                <w:b/>
                <w:bCs/>
              </w:rPr>
            </w:pPr>
            <w:r>
              <w:rPr>
                <w:rFonts w:ascii="Calibri" w:eastAsia="Calibri" w:hAnsi="Calibri" w:cs="Calibri"/>
                <w:b/>
                <w:bCs/>
              </w:rPr>
              <w:t>Consider</w:t>
            </w:r>
            <w:r w:rsidR="00116313">
              <w:rPr>
                <w:rFonts w:ascii="Calibri" w:eastAsia="Calibri" w:hAnsi="Calibri" w:cs="Calibri"/>
                <w:b/>
                <w:bCs/>
              </w:rPr>
              <w:t xml:space="preserve">s </w:t>
            </w:r>
            <w:r>
              <w:rPr>
                <w:rFonts w:ascii="Calibri" w:eastAsia="Calibri" w:hAnsi="Calibri" w:cs="Calibri"/>
                <w:b/>
                <w:bCs/>
              </w:rPr>
              <w:t>post-Y12 options</w:t>
            </w:r>
          </w:p>
        </w:tc>
        <w:tc>
          <w:tcPr>
            <w:tcW w:w="6376" w:type="dxa"/>
            <w:gridSpan w:val="3"/>
          </w:tcPr>
          <w:p w14:paraId="5D89ED29"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Selects useful sources of information about post-Y12 pathways</w:t>
            </w:r>
          </w:p>
          <w:p w14:paraId="0F5C2BBE"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Compares pros and cons of full-time education, employment, and apprenticeships</w:t>
            </w:r>
          </w:p>
          <w:p w14:paraId="5E06D670"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Analyses scenarios of young people deciding on their post-16 pathway</w:t>
            </w:r>
          </w:p>
          <w:p w14:paraId="45009614" w14:textId="679AF5D1"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Ranks post-Y12 pathways in order of current preference</w:t>
            </w:r>
          </w:p>
        </w:tc>
      </w:tr>
      <w:tr w:rsidR="009970C3" w:rsidRPr="00687AF6" w14:paraId="707FE568" w14:textId="77777777" w:rsidTr="008D1DE0">
        <w:trPr>
          <w:trHeight w:val="300"/>
        </w:trPr>
        <w:tc>
          <w:tcPr>
            <w:tcW w:w="2689" w:type="dxa"/>
          </w:tcPr>
          <w:p w14:paraId="4B2A7E4C" w14:textId="00379125" w:rsidR="009970C3" w:rsidRDefault="00116313" w:rsidP="009970C3">
            <w:pPr>
              <w:rPr>
                <w:rFonts w:ascii="Calibri" w:eastAsia="Calibri" w:hAnsi="Calibri" w:cs="Calibri"/>
                <w:b/>
                <w:bCs/>
              </w:rPr>
            </w:pPr>
            <w:r>
              <w:rPr>
                <w:rFonts w:ascii="Calibri" w:eastAsia="Calibri" w:hAnsi="Calibri" w:cs="Calibri"/>
                <w:b/>
                <w:bCs/>
              </w:rPr>
              <w:t>Chooses their</w:t>
            </w:r>
            <w:r w:rsidR="009970C3">
              <w:rPr>
                <w:rFonts w:ascii="Calibri" w:eastAsia="Calibri" w:hAnsi="Calibri" w:cs="Calibri"/>
                <w:b/>
                <w:bCs/>
              </w:rPr>
              <w:t xml:space="preserve"> post-Y12 program</w:t>
            </w:r>
          </w:p>
        </w:tc>
        <w:tc>
          <w:tcPr>
            <w:tcW w:w="6376" w:type="dxa"/>
            <w:gridSpan w:val="3"/>
          </w:tcPr>
          <w:p w14:paraId="383BFDAF" w14:textId="0441B3CA" w:rsidR="009970C3" w:rsidRPr="009970C3" w:rsidRDefault="009970C3" w:rsidP="009970C3">
            <w:pPr>
              <w:shd w:val="clear" w:color="auto" w:fill="FFFFFF"/>
              <w:rPr>
                <w:rFonts w:ascii="Calibri" w:eastAsia="Times New Roman" w:hAnsi="Calibri" w:cs="Calibri"/>
                <w:lang w:eastAsia="en-GB"/>
              </w:rPr>
            </w:pPr>
            <w:r>
              <w:rPr>
                <w:rFonts w:ascii="Calibri" w:hAnsi="Calibri" w:cs="Calibri"/>
                <w:color w:val="242424"/>
                <w:shd w:val="clear" w:color="auto" w:fill="FFFFFF"/>
              </w:rPr>
              <w:t>Understands their local offer and can discern which is the best for them.</w:t>
            </w:r>
          </w:p>
        </w:tc>
      </w:tr>
      <w:tr w:rsidR="009970C3" w:rsidRPr="00687AF6" w14:paraId="79C15E49" w14:textId="77777777" w:rsidTr="008D1DE0">
        <w:trPr>
          <w:trHeight w:val="300"/>
        </w:trPr>
        <w:tc>
          <w:tcPr>
            <w:tcW w:w="2689" w:type="dxa"/>
          </w:tcPr>
          <w:p w14:paraId="6C7A1FB9" w14:textId="09F2C5EA" w:rsidR="009970C3" w:rsidRPr="009970C3" w:rsidRDefault="00116313" w:rsidP="009970C3">
            <w:pPr>
              <w:rPr>
                <w:rFonts w:ascii="Calibri" w:eastAsia="Calibri" w:hAnsi="Calibri" w:cs="Calibri"/>
                <w:b/>
                <w:bCs/>
              </w:rPr>
            </w:pPr>
            <w:r>
              <w:rPr>
                <w:rFonts w:ascii="Calibri" w:hAnsi="Calibri" w:cs="Calibri"/>
                <w:b/>
                <w:bCs/>
                <w:color w:val="242424"/>
                <w:shd w:val="clear" w:color="auto" w:fill="FFFFFF"/>
              </w:rPr>
              <w:t xml:space="preserve">Understands the financial implications of </w:t>
            </w:r>
            <w:r w:rsidR="009970C3" w:rsidRPr="009970C3">
              <w:rPr>
                <w:rFonts w:ascii="Calibri" w:hAnsi="Calibri" w:cs="Calibri"/>
                <w:b/>
                <w:bCs/>
                <w:color w:val="242424"/>
                <w:shd w:val="clear" w:color="auto" w:fill="FFFFFF"/>
              </w:rPr>
              <w:lastRenderedPageBreak/>
              <w:t>apprenticeships vs. higher education</w:t>
            </w:r>
          </w:p>
        </w:tc>
        <w:tc>
          <w:tcPr>
            <w:tcW w:w="6376" w:type="dxa"/>
            <w:gridSpan w:val="3"/>
          </w:tcPr>
          <w:p w14:paraId="485859A0"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Understands pros and cons of apprenticeships</w:t>
            </w:r>
          </w:p>
          <w:p w14:paraId="007334E2"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t>Understands pros and cons of higher education</w:t>
            </w:r>
          </w:p>
          <w:p w14:paraId="241FF9DD" w14:textId="1682D66D"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Explains how factors such as someone’s financial situation could impact their career pathway choices</w:t>
            </w:r>
          </w:p>
        </w:tc>
      </w:tr>
      <w:tr w:rsidR="00116313" w:rsidRPr="00687AF6" w14:paraId="46800074" w14:textId="77777777" w:rsidTr="008D1DE0">
        <w:trPr>
          <w:trHeight w:val="300"/>
        </w:trPr>
        <w:tc>
          <w:tcPr>
            <w:tcW w:w="2689" w:type="dxa"/>
          </w:tcPr>
          <w:p w14:paraId="5780E5A5" w14:textId="7F948F86" w:rsidR="00116313" w:rsidRPr="00116313" w:rsidRDefault="00116313" w:rsidP="00116313">
            <w:pPr>
              <w:rPr>
                <w:rFonts w:ascii="Calibri" w:hAnsi="Calibri" w:cs="Calibri"/>
                <w:b/>
                <w:bCs/>
              </w:rPr>
            </w:pPr>
            <w:r w:rsidRPr="00116313">
              <w:rPr>
                <w:b/>
                <w:bCs/>
              </w:rPr>
              <w:lastRenderedPageBreak/>
              <w:t xml:space="preserve">Ranks preferences, and moves into </w:t>
            </w:r>
            <w:r w:rsidRPr="00116313">
              <w:rPr>
                <w:rStyle w:val="Emphasis"/>
                <w:b/>
                <w:bCs/>
              </w:rPr>
              <w:t>application and planning</w:t>
            </w:r>
          </w:p>
        </w:tc>
        <w:tc>
          <w:tcPr>
            <w:tcW w:w="6376" w:type="dxa"/>
            <w:gridSpan w:val="3"/>
          </w:tcPr>
          <w:p w14:paraId="06F6D618" w14:textId="22A0A182" w:rsidR="00116313" w:rsidRPr="009970C3" w:rsidRDefault="00116313" w:rsidP="009970C3">
            <w:pPr>
              <w:shd w:val="clear" w:color="auto" w:fill="FFFFFF"/>
              <w:rPr>
                <w:rFonts w:ascii="Calibri" w:eastAsia="Times New Roman" w:hAnsi="Calibri" w:cs="Calibri"/>
                <w:color w:val="000000"/>
                <w:lang w:eastAsia="en-GB"/>
              </w:rPr>
            </w:pPr>
            <w:r>
              <w:t>Evaluates their own skills, interests, and personal circumstances to create a realistic and flexible post-16/post-Y12 action plan, including next steps and contingency options.</w:t>
            </w:r>
          </w:p>
        </w:tc>
      </w:tr>
    </w:tbl>
    <w:p w14:paraId="2AB30770" w14:textId="77777777" w:rsidR="00970865" w:rsidRDefault="00970865" w:rsidP="00970865">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313115ED" w14:textId="39205313" w:rsidR="00970865" w:rsidRDefault="00970865" w:rsidP="00970865">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226DBFA3" w14:textId="3CE842AF" w:rsidR="005572C9" w:rsidRPr="005572C9" w:rsidRDefault="005572C9" w:rsidP="00970865">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Key words:</w:t>
      </w:r>
    </w:p>
    <w:p w14:paraId="394DDB50"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Pathway</w:t>
      </w:r>
      <w:r w:rsidRPr="005572C9">
        <w:rPr>
          <w:rFonts w:asciiTheme="minorHAnsi" w:hAnsiTheme="minorHAnsi" w:cstheme="minorHAnsi"/>
          <w:sz w:val="22"/>
          <w:szCs w:val="22"/>
        </w:rPr>
        <w:br/>
        <w:t>A route or option for education, training or employment after Year 11 or Year 13.</w:t>
      </w:r>
    </w:p>
    <w:p w14:paraId="7AE35C88"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Progression</w:t>
      </w:r>
      <w:r w:rsidRPr="005572C9">
        <w:rPr>
          <w:rFonts w:asciiTheme="minorHAnsi" w:hAnsiTheme="minorHAnsi" w:cstheme="minorHAnsi"/>
          <w:sz w:val="22"/>
          <w:szCs w:val="22"/>
        </w:rPr>
        <w:br/>
        <w:t>The next step that builds on current learning or skills.</w:t>
      </w:r>
    </w:p>
    <w:p w14:paraId="7F61D0C1"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Apprenticeship</w:t>
      </w:r>
      <w:r w:rsidRPr="005572C9">
        <w:rPr>
          <w:rFonts w:asciiTheme="minorHAnsi" w:hAnsiTheme="minorHAnsi" w:cstheme="minorHAnsi"/>
          <w:sz w:val="22"/>
          <w:szCs w:val="22"/>
        </w:rPr>
        <w:br/>
        <w:t>A paid job that includes training and qualifications.</w:t>
      </w:r>
    </w:p>
    <w:p w14:paraId="669265F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Higher Education</w:t>
      </w:r>
      <w:r w:rsidRPr="005572C9">
        <w:rPr>
          <w:rFonts w:asciiTheme="minorHAnsi" w:hAnsiTheme="minorHAnsi" w:cstheme="minorHAnsi"/>
          <w:sz w:val="22"/>
          <w:szCs w:val="22"/>
        </w:rPr>
        <w:br/>
        <w:t>Study at university or college leading to a degree or higher-level qualification.</w:t>
      </w:r>
    </w:p>
    <w:p w14:paraId="195F67B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Employment</w:t>
      </w:r>
      <w:r w:rsidRPr="005572C9">
        <w:rPr>
          <w:rFonts w:asciiTheme="minorHAnsi" w:hAnsiTheme="minorHAnsi" w:cstheme="minorHAnsi"/>
          <w:sz w:val="22"/>
          <w:szCs w:val="22"/>
        </w:rPr>
        <w:br/>
        <w:t>Paid work, which may include training or development opportunities.</w:t>
      </w:r>
    </w:p>
    <w:p w14:paraId="7C1A91E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Full-Time Education</w:t>
      </w:r>
      <w:r w:rsidRPr="005572C9">
        <w:rPr>
          <w:rFonts w:asciiTheme="minorHAnsi" w:hAnsiTheme="minorHAnsi" w:cstheme="minorHAnsi"/>
          <w:sz w:val="22"/>
          <w:szCs w:val="22"/>
        </w:rPr>
        <w:br/>
        <w:t>Learning in a school, sixth form or college setting.</w:t>
      </w:r>
    </w:p>
    <w:p w14:paraId="225CFEA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Entry Requirements</w:t>
      </w:r>
      <w:r w:rsidRPr="005572C9">
        <w:rPr>
          <w:rFonts w:asciiTheme="minorHAnsi" w:hAnsiTheme="minorHAnsi" w:cstheme="minorHAnsi"/>
          <w:sz w:val="22"/>
          <w:szCs w:val="22"/>
        </w:rPr>
        <w:br/>
        <w:t>The grades, skills or experience needed to access a pathway.</w:t>
      </w:r>
    </w:p>
    <w:p w14:paraId="64A20024"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Local Offer</w:t>
      </w:r>
      <w:r w:rsidRPr="005572C9">
        <w:rPr>
          <w:rFonts w:asciiTheme="minorHAnsi" w:hAnsiTheme="minorHAnsi" w:cstheme="minorHAnsi"/>
          <w:sz w:val="22"/>
          <w:szCs w:val="22"/>
        </w:rPr>
        <w:br/>
        <w:t>The education, training and support options available in the local area (e.g. Sheffield).</w:t>
      </w:r>
    </w:p>
    <w:p w14:paraId="35EC5D1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Independence</w:t>
      </w:r>
      <w:r w:rsidRPr="005572C9">
        <w:rPr>
          <w:rFonts w:asciiTheme="minorHAnsi" w:hAnsiTheme="minorHAnsi" w:cstheme="minorHAnsi"/>
          <w:sz w:val="22"/>
          <w:szCs w:val="22"/>
        </w:rPr>
        <w:br/>
        <w:t>The ability to make informed choices and manage learning or work with appropriate support.</w:t>
      </w:r>
    </w:p>
    <w:p w14:paraId="47BCFAE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Support</w:t>
      </w:r>
      <w:r w:rsidRPr="005572C9">
        <w:rPr>
          <w:rFonts w:asciiTheme="minorHAnsi" w:hAnsiTheme="minorHAnsi" w:cstheme="minorHAnsi"/>
          <w:sz w:val="22"/>
          <w:szCs w:val="22"/>
        </w:rPr>
        <w:br/>
        <w:t>Help or adjustments needed to access learning or employment (e.g. SEND support).</w:t>
      </w:r>
    </w:p>
    <w:p w14:paraId="37F32453"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Finance</w:t>
      </w:r>
      <w:r w:rsidRPr="005572C9">
        <w:rPr>
          <w:rFonts w:asciiTheme="minorHAnsi" w:hAnsiTheme="minorHAnsi" w:cstheme="minorHAnsi"/>
          <w:sz w:val="22"/>
          <w:szCs w:val="22"/>
        </w:rPr>
        <w:br/>
        <w:t>Money-related factors such as pay, costs, loans or funding that affect decisions.</w:t>
      </w:r>
    </w:p>
    <w:p w14:paraId="05C54FE9"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Aspiration</w:t>
      </w:r>
      <w:r w:rsidRPr="005572C9">
        <w:rPr>
          <w:rFonts w:asciiTheme="minorHAnsi" w:hAnsiTheme="minorHAnsi" w:cstheme="minorHAnsi"/>
          <w:sz w:val="22"/>
          <w:szCs w:val="22"/>
        </w:rPr>
        <w:br/>
        <w:t>A goal or ambition for the future that is realistic and achievable.</w:t>
      </w:r>
    </w:p>
    <w:p w14:paraId="5E4AB2B5" w14:textId="77777777" w:rsidR="005572C9" w:rsidRDefault="00116313" w:rsidP="005572C9">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Recommended Reading:</w:t>
      </w:r>
    </w:p>
    <w:p w14:paraId="6386F6DC" w14:textId="5072C70A" w:rsidR="00116313" w:rsidRPr="00116313" w:rsidRDefault="00116313" w:rsidP="005572C9">
      <w:pPr>
        <w:spacing w:line="257" w:lineRule="auto"/>
        <w:rPr>
          <w:rFonts w:ascii="Calibri" w:eastAsia="Calibri" w:hAnsi="Calibri" w:cs="Calibri"/>
          <w:color w:val="000000" w:themeColor="text1"/>
          <w:u w:val="single"/>
        </w:rPr>
      </w:pPr>
      <w:r w:rsidRPr="00116313">
        <w:rPr>
          <w:rFonts w:eastAsia="Times New Roman" w:cstheme="minorHAnsi"/>
          <w:u w:val="single"/>
          <w:lang w:eastAsia="en-GB"/>
        </w:rPr>
        <w:t>Fiction</w:t>
      </w:r>
    </w:p>
    <w:p w14:paraId="4BB94245"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1. The Curious Incident of the Dog in the Night-Time — Mark Haddon</w:t>
      </w:r>
      <w:r w:rsidRPr="00116313">
        <w:rPr>
          <w:rFonts w:eastAsia="Times New Roman" w:cstheme="minorHAnsi"/>
          <w:lang w:eastAsia="en-GB"/>
        </w:rPr>
        <w:br/>
        <w:t>A powerful, relatable narrative exploring logic, emotion and independence. Great for discussions about perspective and personal strengths.</w:t>
      </w:r>
    </w:p>
    <w:p w14:paraId="1D301D92"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2. Wonder — R.J. Palacio</w:t>
      </w:r>
      <w:r w:rsidRPr="00116313">
        <w:rPr>
          <w:rFonts w:eastAsia="Times New Roman" w:cstheme="minorHAnsi"/>
          <w:lang w:eastAsia="en-GB"/>
        </w:rPr>
        <w:br/>
        <w:t>Empathy, difference, resilience — supports social-emotional learning and acceptance.</w:t>
      </w:r>
    </w:p>
    <w:p w14:paraId="59EB2EF9"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3. Of Mice and Men — John Steinbeck</w:t>
      </w:r>
      <w:r w:rsidRPr="00116313">
        <w:rPr>
          <w:rFonts w:eastAsia="Times New Roman" w:cstheme="minorHAnsi"/>
          <w:lang w:eastAsia="en-GB"/>
        </w:rPr>
        <w:br/>
        <w:t>Classic text exploring dreams, friendship, and reality; useful for GCSE and character analysis.</w:t>
      </w:r>
    </w:p>
    <w:p w14:paraId="2E75E47E"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lastRenderedPageBreak/>
        <w:t>4. Long Way Down — Jason Reynolds</w:t>
      </w:r>
      <w:r w:rsidRPr="00116313">
        <w:rPr>
          <w:rFonts w:eastAsia="Times New Roman" w:cstheme="minorHAnsi"/>
          <w:lang w:eastAsia="en-GB"/>
        </w:rPr>
        <w:br/>
        <w:t>Fast-paced verse novel about choice, consequence, and community — excellent for engagement and reflection.</w:t>
      </w:r>
    </w:p>
    <w:p w14:paraId="7BCB8E09" w14:textId="78943116" w:rsid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5. The Hate U Give — Angie Thomas</w:t>
      </w:r>
      <w:r w:rsidRPr="00116313">
        <w:rPr>
          <w:rFonts w:eastAsia="Times New Roman" w:cstheme="minorHAnsi"/>
          <w:lang w:eastAsia="en-GB"/>
        </w:rPr>
        <w:br/>
        <w:t>Contemporary, powerful themes of identity, voice and justice — sparks discussion around society and personal agency.</w:t>
      </w:r>
    </w:p>
    <w:p w14:paraId="7216CD0D" w14:textId="592F1150" w:rsidR="005572C9" w:rsidRPr="005572C9" w:rsidRDefault="005572C9" w:rsidP="00116313">
      <w:pPr>
        <w:spacing w:before="100" w:beforeAutospacing="1" w:after="100" w:afterAutospacing="1" w:line="240" w:lineRule="auto"/>
        <w:rPr>
          <w:rFonts w:eastAsia="Times New Roman" w:cstheme="minorHAnsi"/>
          <w:u w:val="single"/>
          <w:lang w:eastAsia="en-GB"/>
        </w:rPr>
      </w:pPr>
      <w:r w:rsidRPr="005572C9">
        <w:rPr>
          <w:rFonts w:eastAsia="Times New Roman" w:cstheme="minorHAnsi"/>
          <w:u w:val="single"/>
          <w:lang w:eastAsia="en-GB"/>
        </w:rPr>
        <w:t>Non-Fiction</w:t>
      </w:r>
    </w:p>
    <w:p w14:paraId="5351DF91" w14:textId="74442017" w:rsidR="005572C9" w:rsidRPr="005572C9" w:rsidRDefault="005572C9" w:rsidP="005572C9">
      <w:pPr>
        <w:pStyle w:val="NormalWeb"/>
        <w:rPr>
          <w:rFonts w:asciiTheme="minorHAnsi" w:hAnsiTheme="minorHAnsi" w:cstheme="minorHAnsi"/>
          <w:sz w:val="22"/>
          <w:szCs w:val="22"/>
        </w:rPr>
      </w:pPr>
      <w:r w:rsidRPr="005572C9">
        <w:rPr>
          <w:rStyle w:val="Emphasis"/>
          <w:rFonts w:asciiTheme="minorHAnsi" w:hAnsiTheme="minorHAnsi" w:cstheme="minorHAnsi"/>
          <w:b/>
          <w:bCs/>
          <w:i w:val="0"/>
          <w:iCs w:val="0"/>
          <w:sz w:val="22"/>
          <w:szCs w:val="22"/>
        </w:rPr>
        <w:t>1. I Am Malala (Young Readers Edition)</w:t>
      </w:r>
      <w:r w:rsidRPr="005572C9">
        <w:rPr>
          <w:rStyle w:val="Strong"/>
          <w:rFonts w:asciiTheme="minorHAnsi" w:hAnsiTheme="minorHAnsi" w:cstheme="minorHAnsi"/>
          <w:sz w:val="22"/>
          <w:szCs w:val="22"/>
        </w:rPr>
        <w:t xml:space="preserve"> — Malala Yousafzai</w:t>
      </w:r>
      <w:r w:rsidRPr="005572C9">
        <w:rPr>
          <w:rFonts w:asciiTheme="minorHAnsi" w:hAnsiTheme="minorHAnsi" w:cstheme="minorHAnsi"/>
          <w:sz w:val="22"/>
          <w:szCs w:val="22"/>
        </w:rPr>
        <w:br/>
        <w:t>Empowerment, education rights, courage — inspiring teen-friendly memoir.</w:t>
      </w:r>
    </w:p>
    <w:p w14:paraId="06FA9A37" w14:textId="2F937A60" w:rsidR="005572C9" w:rsidRDefault="005572C9" w:rsidP="005572C9">
      <w:pPr>
        <w:pStyle w:val="NormalWeb"/>
        <w:rPr>
          <w:rFonts w:asciiTheme="minorHAnsi" w:hAnsiTheme="minorHAnsi" w:cstheme="minorHAnsi"/>
          <w:sz w:val="22"/>
          <w:szCs w:val="22"/>
        </w:rPr>
      </w:pPr>
      <w:r w:rsidRPr="005572C9">
        <w:rPr>
          <w:rStyle w:val="Strong"/>
          <w:rFonts w:asciiTheme="minorHAnsi" w:hAnsiTheme="minorHAnsi" w:cstheme="minorHAnsi"/>
          <w:sz w:val="22"/>
          <w:szCs w:val="22"/>
        </w:rPr>
        <w:t xml:space="preserve">2. </w:t>
      </w:r>
      <w:r w:rsidRPr="005572C9">
        <w:rPr>
          <w:rStyle w:val="Emphasis"/>
          <w:rFonts w:asciiTheme="minorHAnsi" w:hAnsiTheme="minorHAnsi" w:cstheme="minorHAnsi"/>
          <w:b/>
          <w:bCs/>
          <w:i w:val="0"/>
          <w:iCs w:val="0"/>
          <w:sz w:val="22"/>
          <w:szCs w:val="22"/>
        </w:rPr>
        <w:t>Mindset: The New Psychology of Success (Young Readers)</w:t>
      </w:r>
      <w:r w:rsidRPr="005572C9">
        <w:rPr>
          <w:rStyle w:val="Strong"/>
          <w:rFonts w:asciiTheme="minorHAnsi" w:hAnsiTheme="minorHAnsi" w:cstheme="minorHAnsi"/>
          <w:sz w:val="22"/>
          <w:szCs w:val="22"/>
        </w:rPr>
        <w:t xml:space="preserve"> — Carol S. Dweck</w:t>
      </w:r>
      <w:r w:rsidRPr="005572C9">
        <w:rPr>
          <w:rFonts w:asciiTheme="minorHAnsi" w:hAnsiTheme="minorHAnsi" w:cstheme="minorHAnsi"/>
          <w:sz w:val="22"/>
          <w:szCs w:val="22"/>
        </w:rPr>
        <w:br/>
        <w:t>Understanding growth mindset — great for motivation around learning and future goals.</w:t>
      </w:r>
    </w:p>
    <w:p w14:paraId="47CA81D4" w14:textId="3EE36A66" w:rsidR="005572C9" w:rsidRDefault="005572C9" w:rsidP="005572C9">
      <w:pPr>
        <w:pStyle w:val="NormalWeb"/>
        <w:rPr>
          <w:rFonts w:asciiTheme="minorHAnsi" w:hAnsiTheme="minorHAnsi" w:cstheme="minorHAnsi"/>
          <w:sz w:val="22"/>
          <w:szCs w:val="22"/>
        </w:rPr>
      </w:pPr>
    </w:p>
    <w:p w14:paraId="3575905D" w14:textId="77777777" w:rsidR="005572C9" w:rsidRPr="005572C9" w:rsidRDefault="005572C9" w:rsidP="005572C9">
      <w:pPr>
        <w:pStyle w:val="NormalWeb"/>
        <w:rPr>
          <w:rFonts w:asciiTheme="minorHAnsi" w:hAnsiTheme="minorHAnsi" w:cstheme="minorHAnsi"/>
          <w:sz w:val="22"/>
          <w:szCs w:val="22"/>
        </w:rPr>
      </w:pPr>
    </w:p>
    <w:p w14:paraId="7DB7FCC8" w14:textId="77777777" w:rsidR="005572C9" w:rsidRPr="00116313" w:rsidRDefault="005572C9" w:rsidP="00116313">
      <w:pPr>
        <w:spacing w:before="100" w:beforeAutospacing="1" w:after="100" w:afterAutospacing="1" w:line="240" w:lineRule="auto"/>
        <w:rPr>
          <w:rFonts w:eastAsia="Times New Roman" w:cstheme="minorHAnsi"/>
          <w:lang w:eastAsia="en-GB"/>
        </w:rPr>
      </w:pPr>
    </w:p>
    <w:p w14:paraId="029E8EF5" w14:textId="77777777" w:rsidR="00116313" w:rsidRDefault="00116313" w:rsidP="00970865">
      <w:pPr>
        <w:spacing w:line="257" w:lineRule="auto"/>
        <w:rPr>
          <w:rFonts w:ascii="Calibri" w:eastAsia="Calibri" w:hAnsi="Calibri" w:cs="Calibri"/>
          <w:color w:val="000000" w:themeColor="text1"/>
        </w:rPr>
      </w:pPr>
    </w:p>
    <w:sectPr w:rsidR="00116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83551"/>
    <w:multiLevelType w:val="multilevel"/>
    <w:tmpl w:val="4BE02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65"/>
    <w:rsid w:val="000539BA"/>
    <w:rsid w:val="00070218"/>
    <w:rsid w:val="00116313"/>
    <w:rsid w:val="005572C9"/>
    <w:rsid w:val="008A7CE0"/>
    <w:rsid w:val="009301A4"/>
    <w:rsid w:val="00970865"/>
    <w:rsid w:val="009970C3"/>
    <w:rsid w:val="00CE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66C9"/>
  <w15:chartTrackingRefBased/>
  <w15:docId w15:val="{1A27FECF-7820-4D90-8829-34A9BDFE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865"/>
  </w:style>
  <w:style w:type="paragraph" w:styleId="Heading2">
    <w:name w:val="heading 2"/>
    <w:basedOn w:val="Normal"/>
    <w:link w:val="Heading2Char"/>
    <w:uiPriority w:val="9"/>
    <w:qFormat/>
    <w:rsid w:val="001163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572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0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0865"/>
    <w:rPr>
      <w:color w:val="0563C1"/>
      <w:u w:val="single"/>
    </w:rPr>
  </w:style>
  <w:style w:type="character" w:styleId="Emphasis">
    <w:name w:val="Emphasis"/>
    <w:basedOn w:val="DefaultParagraphFont"/>
    <w:uiPriority w:val="20"/>
    <w:qFormat/>
    <w:rsid w:val="00116313"/>
    <w:rPr>
      <w:i/>
      <w:iCs/>
    </w:rPr>
  </w:style>
  <w:style w:type="character" w:customStyle="1" w:styleId="Heading2Char">
    <w:name w:val="Heading 2 Char"/>
    <w:basedOn w:val="DefaultParagraphFont"/>
    <w:link w:val="Heading2"/>
    <w:uiPriority w:val="9"/>
    <w:rsid w:val="00116313"/>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16313"/>
    <w:rPr>
      <w:b/>
      <w:bCs/>
    </w:rPr>
  </w:style>
  <w:style w:type="paragraph" w:styleId="NormalWeb">
    <w:name w:val="Normal (Web)"/>
    <w:basedOn w:val="Normal"/>
    <w:uiPriority w:val="99"/>
    <w:semiHidden/>
    <w:unhideWhenUsed/>
    <w:rsid w:val="001163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572C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15206">
      <w:bodyDiv w:val="1"/>
      <w:marLeft w:val="0"/>
      <w:marRight w:val="0"/>
      <w:marTop w:val="0"/>
      <w:marBottom w:val="0"/>
      <w:divBdr>
        <w:top w:val="none" w:sz="0" w:space="0" w:color="auto"/>
        <w:left w:val="none" w:sz="0" w:space="0" w:color="auto"/>
        <w:bottom w:val="none" w:sz="0" w:space="0" w:color="auto"/>
        <w:right w:val="none" w:sz="0" w:space="0" w:color="auto"/>
      </w:divBdr>
    </w:div>
    <w:div w:id="1196894592">
      <w:bodyDiv w:val="1"/>
      <w:marLeft w:val="0"/>
      <w:marRight w:val="0"/>
      <w:marTop w:val="0"/>
      <w:marBottom w:val="0"/>
      <w:divBdr>
        <w:top w:val="none" w:sz="0" w:space="0" w:color="auto"/>
        <w:left w:val="none" w:sz="0" w:space="0" w:color="auto"/>
        <w:bottom w:val="none" w:sz="0" w:space="0" w:color="auto"/>
        <w:right w:val="none" w:sz="0" w:space="0" w:color="auto"/>
      </w:divBdr>
    </w:div>
    <w:div w:id="1200510757">
      <w:bodyDiv w:val="1"/>
      <w:marLeft w:val="0"/>
      <w:marRight w:val="0"/>
      <w:marTop w:val="0"/>
      <w:marBottom w:val="0"/>
      <w:divBdr>
        <w:top w:val="none" w:sz="0" w:space="0" w:color="auto"/>
        <w:left w:val="none" w:sz="0" w:space="0" w:color="auto"/>
        <w:bottom w:val="none" w:sz="0" w:space="0" w:color="auto"/>
        <w:right w:val="none" w:sz="0" w:space="0" w:color="auto"/>
      </w:divBdr>
    </w:div>
    <w:div w:id="1389451077">
      <w:bodyDiv w:val="1"/>
      <w:marLeft w:val="0"/>
      <w:marRight w:val="0"/>
      <w:marTop w:val="0"/>
      <w:marBottom w:val="0"/>
      <w:divBdr>
        <w:top w:val="none" w:sz="0" w:space="0" w:color="auto"/>
        <w:left w:val="none" w:sz="0" w:space="0" w:color="auto"/>
        <w:bottom w:val="none" w:sz="0" w:space="0" w:color="auto"/>
        <w:right w:val="none" w:sz="0" w:space="0" w:color="auto"/>
      </w:divBdr>
    </w:div>
    <w:div w:id="1608998424">
      <w:bodyDiv w:val="1"/>
      <w:marLeft w:val="0"/>
      <w:marRight w:val="0"/>
      <w:marTop w:val="0"/>
      <w:marBottom w:val="0"/>
      <w:divBdr>
        <w:top w:val="none" w:sz="0" w:space="0" w:color="auto"/>
        <w:left w:val="none" w:sz="0" w:space="0" w:color="auto"/>
        <w:bottom w:val="none" w:sz="0" w:space="0" w:color="auto"/>
        <w:right w:val="none" w:sz="0" w:space="0" w:color="auto"/>
      </w:divBdr>
    </w:div>
    <w:div w:id="1870214057">
      <w:bodyDiv w:val="1"/>
      <w:marLeft w:val="0"/>
      <w:marRight w:val="0"/>
      <w:marTop w:val="0"/>
      <w:marBottom w:val="0"/>
      <w:divBdr>
        <w:top w:val="none" w:sz="0" w:space="0" w:color="auto"/>
        <w:left w:val="none" w:sz="0" w:space="0" w:color="auto"/>
        <w:bottom w:val="none" w:sz="0" w:space="0" w:color="auto"/>
        <w:right w:val="none" w:sz="0" w:space="0" w:color="auto"/>
      </w:divBdr>
    </w:div>
    <w:div w:id="1955865033">
      <w:bodyDiv w:val="1"/>
      <w:marLeft w:val="0"/>
      <w:marRight w:val="0"/>
      <w:marTop w:val="0"/>
      <w:marBottom w:val="0"/>
      <w:divBdr>
        <w:top w:val="none" w:sz="0" w:space="0" w:color="auto"/>
        <w:left w:val="none" w:sz="0" w:space="0" w:color="auto"/>
        <w:bottom w:val="none" w:sz="0" w:space="0" w:color="auto"/>
        <w:right w:val="none" w:sz="0" w:space="0" w:color="auto"/>
      </w:divBdr>
    </w:div>
    <w:div w:id="209539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786</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Amanda Grego (Kenwood)</cp:lastModifiedBy>
  <cp:revision>3</cp:revision>
  <dcterms:created xsi:type="dcterms:W3CDTF">2026-01-04T21:46:00Z</dcterms:created>
  <dcterms:modified xsi:type="dcterms:W3CDTF">2026-01-04T21:47:00Z</dcterms:modified>
</cp:coreProperties>
</file>