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631"/>
        <w:gridCol w:w="2070"/>
        <w:gridCol w:w="3409"/>
        <w:gridCol w:w="3346"/>
      </w:tblGrid>
      <w:tr w:rsidR="00B245FA" w:rsidRPr="00AE5E18" w14:paraId="2A531455" w14:textId="77777777" w:rsidTr="00AE5E18">
        <w:trPr>
          <w:trHeight w:val="557"/>
        </w:trPr>
        <w:tc>
          <w:tcPr>
            <w:tcW w:w="1770" w:type="pct"/>
            <w:gridSpan w:val="2"/>
            <w:shd w:val="clear" w:color="auto" w:fill="auto"/>
          </w:tcPr>
          <w:p w14:paraId="056BEAE1" w14:textId="664A1421" w:rsidR="00B245FA" w:rsidRPr="00AE5E18" w:rsidRDefault="00B245FA" w:rsidP="00B245FA">
            <w:pPr>
              <w:rPr>
                <w:rFonts w:ascii="Verdana" w:hAnsi="Verdana"/>
                <w:b/>
                <w:bCs/>
                <w:sz w:val="24"/>
                <w:szCs w:val="24"/>
              </w:rPr>
            </w:pPr>
            <w:r w:rsidRPr="00AE5E18">
              <w:rPr>
                <w:rFonts w:ascii="Verdana" w:hAnsi="Verdana"/>
                <w:b/>
                <w:bCs/>
                <w:sz w:val="24"/>
                <w:szCs w:val="24"/>
              </w:rPr>
              <w:t>Group:</w:t>
            </w:r>
            <w:r w:rsidR="008C0A32" w:rsidRPr="00AE5E18">
              <w:rPr>
                <w:rFonts w:ascii="Verdana" w:hAnsi="Verdana"/>
                <w:b/>
                <w:bCs/>
                <w:sz w:val="24"/>
                <w:szCs w:val="24"/>
              </w:rPr>
              <w:t xml:space="preserve"> </w:t>
            </w:r>
            <w:r w:rsidR="001B60A2">
              <w:rPr>
                <w:rFonts w:ascii="Verdana" w:hAnsi="Verdana"/>
                <w:b/>
                <w:bCs/>
                <w:sz w:val="24"/>
                <w:szCs w:val="24"/>
              </w:rPr>
              <w:t>B15</w:t>
            </w:r>
          </w:p>
        </w:tc>
        <w:tc>
          <w:tcPr>
            <w:tcW w:w="1630" w:type="pct"/>
            <w:shd w:val="clear" w:color="auto" w:fill="auto"/>
          </w:tcPr>
          <w:p w14:paraId="0668CB99" w14:textId="77777777" w:rsidR="00B245FA" w:rsidRPr="00AE5E18" w:rsidRDefault="00B245FA" w:rsidP="00B245FA">
            <w:pPr>
              <w:rPr>
                <w:rFonts w:ascii="Verdana" w:hAnsi="Verdana"/>
                <w:b/>
                <w:bCs/>
                <w:sz w:val="24"/>
                <w:szCs w:val="24"/>
              </w:rPr>
            </w:pPr>
            <w:r w:rsidRPr="00AE5E18">
              <w:rPr>
                <w:rFonts w:ascii="Verdana" w:hAnsi="Verdana"/>
                <w:b/>
                <w:bCs/>
                <w:sz w:val="24"/>
                <w:szCs w:val="24"/>
              </w:rPr>
              <w:t xml:space="preserve">Subject: </w:t>
            </w:r>
          </w:p>
          <w:p w14:paraId="181E5C95" w14:textId="433FD79B" w:rsidR="008C0A32" w:rsidRPr="00AE5E18" w:rsidRDefault="00387FE0" w:rsidP="00B245FA">
            <w:pPr>
              <w:rPr>
                <w:rFonts w:ascii="Verdana" w:hAnsi="Verdana"/>
                <w:b/>
                <w:bCs/>
                <w:sz w:val="24"/>
                <w:szCs w:val="24"/>
              </w:rPr>
            </w:pPr>
            <w:r w:rsidRPr="00AE5E18">
              <w:rPr>
                <w:rFonts w:ascii="Verdana" w:hAnsi="Verdana"/>
                <w:b/>
                <w:bCs/>
                <w:sz w:val="24"/>
                <w:szCs w:val="24"/>
              </w:rPr>
              <w:t>PSHE</w:t>
            </w:r>
          </w:p>
        </w:tc>
        <w:tc>
          <w:tcPr>
            <w:tcW w:w="1600" w:type="pct"/>
            <w:shd w:val="clear" w:color="auto" w:fill="auto"/>
          </w:tcPr>
          <w:p w14:paraId="5FD2855C" w14:textId="2D06CDAC" w:rsidR="00B245FA" w:rsidRPr="00AE5E18" w:rsidRDefault="00B245FA" w:rsidP="00B245FA">
            <w:pPr>
              <w:rPr>
                <w:rFonts w:ascii="Verdana" w:hAnsi="Verdana"/>
                <w:b/>
                <w:bCs/>
                <w:sz w:val="24"/>
                <w:szCs w:val="24"/>
              </w:rPr>
            </w:pPr>
            <w:r w:rsidRPr="00AE5E18">
              <w:rPr>
                <w:rFonts w:ascii="Verdana" w:hAnsi="Verdana"/>
                <w:b/>
                <w:bCs/>
                <w:sz w:val="24"/>
                <w:szCs w:val="24"/>
              </w:rPr>
              <w:t xml:space="preserve">Term: </w:t>
            </w:r>
            <w:r w:rsidR="002763B1" w:rsidRPr="00AE5E18">
              <w:rPr>
                <w:rFonts w:ascii="Verdana" w:hAnsi="Verdana"/>
                <w:b/>
                <w:bCs/>
                <w:sz w:val="24"/>
                <w:szCs w:val="24"/>
              </w:rPr>
              <w:t>2</w:t>
            </w:r>
          </w:p>
        </w:tc>
      </w:tr>
      <w:tr w:rsidR="00B245FA" w:rsidRPr="00AE5E18" w14:paraId="736F6FB1" w14:textId="77777777" w:rsidTr="00AE5E18">
        <w:trPr>
          <w:trHeight w:val="412"/>
        </w:trPr>
        <w:tc>
          <w:tcPr>
            <w:tcW w:w="780" w:type="pct"/>
            <w:shd w:val="clear" w:color="auto" w:fill="auto"/>
          </w:tcPr>
          <w:p w14:paraId="503FC8A9" w14:textId="77777777" w:rsidR="00B245FA" w:rsidRPr="00AE5E18" w:rsidRDefault="00B245FA" w:rsidP="00B245FA">
            <w:pPr>
              <w:rPr>
                <w:rFonts w:ascii="Verdana" w:hAnsi="Verdana"/>
                <w:b/>
                <w:bCs/>
                <w:sz w:val="24"/>
                <w:szCs w:val="24"/>
              </w:rPr>
            </w:pPr>
            <w:r w:rsidRPr="00AE5E18">
              <w:rPr>
                <w:rFonts w:ascii="Verdana" w:hAnsi="Verdana"/>
                <w:b/>
                <w:bCs/>
                <w:sz w:val="24"/>
                <w:szCs w:val="24"/>
              </w:rPr>
              <w:t xml:space="preserve">Teacher: </w:t>
            </w:r>
          </w:p>
        </w:tc>
        <w:tc>
          <w:tcPr>
            <w:tcW w:w="4220" w:type="pct"/>
            <w:gridSpan w:val="3"/>
            <w:shd w:val="clear" w:color="auto" w:fill="auto"/>
          </w:tcPr>
          <w:p w14:paraId="3A01D5AF" w14:textId="7581AAC6" w:rsidR="00B245FA" w:rsidRPr="00AE5E18" w:rsidRDefault="00AE5E18" w:rsidP="00B245FA">
            <w:pPr>
              <w:rPr>
                <w:rFonts w:ascii="Verdana" w:hAnsi="Verdana"/>
                <w:b/>
                <w:bCs/>
                <w:sz w:val="24"/>
                <w:szCs w:val="24"/>
              </w:rPr>
            </w:pPr>
            <w:r>
              <w:rPr>
                <w:rFonts w:ascii="Verdana" w:hAnsi="Verdana"/>
                <w:b/>
                <w:bCs/>
                <w:sz w:val="24"/>
                <w:szCs w:val="24"/>
              </w:rPr>
              <w:t>Jenny Hair</w:t>
            </w:r>
          </w:p>
        </w:tc>
      </w:tr>
      <w:tr w:rsidR="00B245FA" w:rsidRPr="00AE5E18" w14:paraId="0B0B2711" w14:textId="77777777" w:rsidTr="00AE5E18">
        <w:trPr>
          <w:trHeight w:val="500"/>
        </w:trPr>
        <w:tc>
          <w:tcPr>
            <w:tcW w:w="5000" w:type="pct"/>
            <w:gridSpan w:val="4"/>
            <w:shd w:val="clear" w:color="auto" w:fill="auto"/>
          </w:tcPr>
          <w:p w14:paraId="151CC055" w14:textId="73807830" w:rsidR="00B245FA" w:rsidRPr="00AE5E18" w:rsidRDefault="00B245FA" w:rsidP="00B245FA">
            <w:pPr>
              <w:rPr>
                <w:rFonts w:ascii="Verdana" w:hAnsi="Verdana"/>
                <w:b/>
                <w:bCs/>
                <w:sz w:val="24"/>
                <w:szCs w:val="24"/>
              </w:rPr>
            </w:pPr>
            <w:r w:rsidRPr="00AE5E18">
              <w:rPr>
                <w:rFonts w:ascii="Verdana" w:hAnsi="Verdana"/>
                <w:b/>
                <w:bCs/>
                <w:sz w:val="24"/>
                <w:szCs w:val="24"/>
              </w:rPr>
              <w:t>Curriculum:</w:t>
            </w:r>
            <w:r w:rsidR="002763B1" w:rsidRPr="00AE5E18">
              <w:rPr>
                <w:rFonts w:ascii="Verdana" w:hAnsi="Verdana"/>
                <w:b/>
                <w:bCs/>
                <w:sz w:val="24"/>
                <w:szCs w:val="24"/>
              </w:rPr>
              <w:t xml:space="preserve"> </w:t>
            </w:r>
            <w:r w:rsidR="0017156C" w:rsidRPr="00AE5E18">
              <w:rPr>
                <w:rFonts w:ascii="Verdana" w:hAnsi="Verdana"/>
                <w:b/>
                <w:bCs/>
                <w:sz w:val="24"/>
                <w:szCs w:val="24"/>
              </w:rPr>
              <w:t>Study P</w:t>
            </w:r>
            <w:r w:rsidR="00AE5E18">
              <w:rPr>
                <w:rFonts w:ascii="Verdana" w:hAnsi="Verdana"/>
                <w:b/>
                <w:bCs/>
                <w:sz w:val="24"/>
                <w:szCs w:val="24"/>
              </w:rPr>
              <w:t>rogrammes</w:t>
            </w:r>
          </w:p>
        </w:tc>
      </w:tr>
      <w:tr w:rsidR="00B245FA" w:rsidRPr="00AE5E18" w14:paraId="351A68E2" w14:textId="77777777" w:rsidTr="00AE5E18">
        <w:trPr>
          <w:trHeight w:val="500"/>
        </w:trPr>
        <w:tc>
          <w:tcPr>
            <w:tcW w:w="5000" w:type="pct"/>
            <w:gridSpan w:val="4"/>
            <w:shd w:val="clear" w:color="auto" w:fill="auto"/>
          </w:tcPr>
          <w:p w14:paraId="2AC4D59D" w14:textId="77777777" w:rsidR="004C0669" w:rsidRDefault="00B245FA" w:rsidP="004C0669">
            <w:pPr>
              <w:rPr>
                <w:rFonts w:ascii="Verdana" w:hAnsi="Verdana"/>
                <w:b/>
                <w:bCs/>
                <w:sz w:val="24"/>
                <w:szCs w:val="24"/>
              </w:rPr>
            </w:pPr>
            <w:r w:rsidRPr="00AE5E18">
              <w:rPr>
                <w:rFonts w:ascii="Verdana" w:hAnsi="Verdana"/>
                <w:b/>
                <w:bCs/>
                <w:sz w:val="24"/>
                <w:szCs w:val="24"/>
              </w:rPr>
              <w:t xml:space="preserve">Term </w:t>
            </w:r>
            <w:r w:rsidR="00B10A0F" w:rsidRPr="00AE5E18">
              <w:rPr>
                <w:rFonts w:ascii="Verdana" w:hAnsi="Verdana"/>
                <w:b/>
                <w:bCs/>
                <w:sz w:val="24"/>
                <w:szCs w:val="24"/>
              </w:rPr>
              <w:t>f</w:t>
            </w:r>
            <w:r w:rsidRPr="00AE5E18">
              <w:rPr>
                <w:rFonts w:ascii="Verdana" w:hAnsi="Verdana"/>
                <w:b/>
                <w:bCs/>
                <w:sz w:val="24"/>
                <w:szCs w:val="24"/>
              </w:rPr>
              <w:t xml:space="preserve">ocus: </w:t>
            </w:r>
            <w:r w:rsidR="0017156C" w:rsidRPr="00AE5E18">
              <w:rPr>
                <w:rFonts w:ascii="Verdana" w:hAnsi="Verdana"/>
                <w:b/>
                <w:bCs/>
                <w:sz w:val="24"/>
                <w:szCs w:val="24"/>
              </w:rPr>
              <w:t>Managing Risk</w:t>
            </w:r>
            <w:r w:rsidR="004C0669">
              <w:rPr>
                <w:rFonts w:ascii="Verdana" w:hAnsi="Verdana"/>
                <w:b/>
                <w:bCs/>
                <w:sz w:val="24"/>
                <w:szCs w:val="24"/>
              </w:rPr>
              <w:t>:  Financial, First Aid and Relationships</w:t>
            </w:r>
          </w:p>
          <w:p w14:paraId="45E674C4" w14:textId="3FB2005D" w:rsidR="00925607" w:rsidRPr="00AE5E18" w:rsidRDefault="000B32D9" w:rsidP="004C0669">
            <w:pPr>
              <w:rPr>
                <w:rFonts w:ascii="Verdana" w:hAnsi="Verdana"/>
                <w:sz w:val="24"/>
                <w:szCs w:val="24"/>
              </w:rPr>
            </w:pPr>
            <w:r w:rsidRPr="00AE5E18">
              <w:rPr>
                <w:rFonts w:ascii="Verdana" w:hAnsi="Verdana"/>
                <w:sz w:val="24"/>
                <w:szCs w:val="24"/>
              </w:rPr>
              <w:t xml:space="preserve">By the end of the term students will have </w:t>
            </w:r>
            <w:r w:rsidR="0017156C" w:rsidRPr="00AE5E18">
              <w:rPr>
                <w:rFonts w:ascii="Verdana" w:hAnsi="Verdana"/>
                <w:sz w:val="24"/>
                <w:szCs w:val="24"/>
              </w:rPr>
              <w:t xml:space="preserve">an improved understanding of identifying and managing risky situations, including how and when to seek help. </w:t>
            </w:r>
            <w:r w:rsidRPr="00AE5E18">
              <w:rPr>
                <w:rFonts w:ascii="Verdana" w:hAnsi="Verdana"/>
                <w:sz w:val="24"/>
                <w:szCs w:val="24"/>
              </w:rPr>
              <w:t xml:space="preserve">Students will build on prior knowledge and revisit their CPR training. Students will recognise </w:t>
            </w:r>
            <w:r w:rsidR="0017156C" w:rsidRPr="00AE5E18">
              <w:rPr>
                <w:rFonts w:ascii="Verdana" w:hAnsi="Verdana"/>
                <w:sz w:val="24"/>
                <w:szCs w:val="24"/>
              </w:rPr>
              <w:t>and manage discrimination and intimidation in different situations, and have strategies to de-escalate and exit situations and know where and how to seek help.</w:t>
            </w:r>
          </w:p>
        </w:tc>
      </w:tr>
    </w:tbl>
    <w:tbl>
      <w:tblPr>
        <w:tblStyle w:val="TableGrid"/>
        <w:tblW w:w="5000" w:type="pct"/>
        <w:tblLook w:val="04A0" w:firstRow="1" w:lastRow="0" w:firstColumn="1" w:lastColumn="0" w:noHBand="0" w:noVBand="1"/>
      </w:tblPr>
      <w:tblGrid>
        <w:gridCol w:w="369"/>
        <w:gridCol w:w="7140"/>
        <w:gridCol w:w="1403"/>
        <w:gridCol w:w="1544"/>
      </w:tblGrid>
      <w:tr w:rsidR="004C0669" w:rsidRPr="00AE5E18" w14:paraId="22833BDD" w14:textId="77777777" w:rsidTr="004C0669">
        <w:trPr>
          <w:trHeight w:val="875"/>
        </w:trPr>
        <w:tc>
          <w:tcPr>
            <w:tcW w:w="176" w:type="pct"/>
            <w:vAlign w:val="center"/>
          </w:tcPr>
          <w:p w14:paraId="78584EC9" w14:textId="77777777" w:rsidR="004C0669" w:rsidRPr="00AE5E18" w:rsidRDefault="004C0669" w:rsidP="00AE5E18">
            <w:pPr>
              <w:jc w:val="center"/>
              <w:rPr>
                <w:rFonts w:ascii="Verdana" w:hAnsi="Verdana" w:cstheme="minorHAnsi"/>
                <w:sz w:val="24"/>
                <w:szCs w:val="24"/>
              </w:rPr>
            </w:pPr>
          </w:p>
        </w:tc>
        <w:tc>
          <w:tcPr>
            <w:tcW w:w="3414" w:type="pct"/>
            <w:vAlign w:val="center"/>
          </w:tcPr>
          <w:p w14:paraId="6ED35F31" w14:textId="77777777" w:rsidR="004C0669" w:rsidRPr="00AE5E18" w:rsidRDefault="004C0669" w:rsidP="00AE5E18">
            <w:pPr>
              <w:jc w:val="center"/>
              <w:rPr>
                <w:rFonts w:ascii="Verdana" w:hAnsi="Verdana" w:cstheme="minorHAnsi"/>
                <w:sz w:val="24"/>
                <w:szCs w:val="24"/>
              </w:rPr>
            </w:pPr>
          </w:p>
        </w:tc>
        <w:tc>
          <w:tcPr>
            <w:tcW w:w="671" w:type="pct"/>
          </w:tcPr>
          <w:p w14:paraId="3DF7C37A" w14:textId="129DC071" w:rsidR="004C0669" w:rsidRPr="00AE5E18" w:rsidRDefault="004C0669" w:rsidP="00AE5E18">
            <w:pPr>
              <w:jc w:val="center"/>
              <w:rPr>
                <w:rFonts w:ascii="Verdana" w:hAnsi="Verdana" w:cstheme="minorHAnsi"/>
                <w:sz w:val="24"/>
                <w:szCs w:val="24"/>
              </w:rPr>
            </w:pPr>
            <w:r>
              <w:rPr>
                <w:rFonts w:ascii="Verdana" w:hAnsi="Verdana" w:cstheme="minorHAnsi"/>
                <w:sz w:val="24"/>
                <w:szCs w:val="24"/>
              </w:rPr>
              <w:t>Present and date</w:t>
            </w:r>
          </w:p>
        </w:tc>
        <w:tc>
          <w:tcPr>
            <w:tcW w:w="738" w:type="pct"/>
          </w:tcPr>
          <w:p w14:paraId="6512EFB7" w14:textId="7ABEA0CF" w:rsidR="004C0669" w:rsidRPr="00AE5E18" w:rsidRDefault="004C0669" w:rsidP="00AE5E18">
            <w:pPr>
              <w:jc w:val="center"/>
              <w:rPr>
                <w:rFonts w:ascii="Verdana" w:hAnsi="Verdana" w:cstheme="minorHAnsi"/>
                <w:sz w:val="24"/>
                <w:szCs w:val="24"/>
              </w:rPr>
            </w:pPr>
            <w:r>
              <w:rPr>
                <w:rFonts w:ascii="Verdana" w:hAnsi="Verdana" w:cstheme="minorHAnsi"/>
                <w:sz w:val="24"/>
                <w:szCs w:val="24"/>
              </w:rPr>
              <w:t>Confidence level</w:t>
            </w:r>
          </w:p>
        </w:tc>
      </w:tr>
      <w:tr w:rsidR="004C0669" w:rsidRPr="00AE5E18" w14:paraId="60C1ADF9" w14:textId="637581EB" w:rsidTr="004C0669">
        <w:trPr>
          <w:trHeight w:val="875"/>
        </w:trPr>
        <w:tc>
          <w:tcPr>
            <w:tcW w:w="176" w:type="pct"/>
            <w:vAlign w:val="center"/>
          </w:tcPr>
          <w:p w14:paraId="4335445F" w14:textId="189246ED"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1</w:t>
            </w:r>
          </w:p>
        </w:tc>
        <w:tc>
          <w:tcPr>
            <w:tcW w:w="3414" w:type="pct"/>
            <w:vAlign w:val="center"/>
            <w:hideMark/>
          </w:tcPr>
          <w:p w14:paraId="60921F25" w14:textId="60B2B777"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ways to identify risk and manage personal safety in new social settings, workplaces, and environments, including online</w:t>
            </w:r>
          </w:p>
        </w:tc>
        <w:tc>
          <w:tcPr>
            <w:tcW w:w="671" w:type="pct"/>
          </w:tcPr>
          <w:p w14:paraId="715D83B6" w14:textId="77777777" w:rsidR="004C0669" w:rsidRPr="00AE5E18" w:rsidRDefault="004C0669" w:rsidP="00AE5E18">
            <w:pPr>
              <w:jc w:val="center"/>
              <w:rPr>
                <w:rFonts w:ascii="Verdana" w:hAnsi="Verdana" w:cstheme="minorHAnsi"/>
                <w:sz w:val="24"/>
                <w:szCs w:val="24"/>
              </w:rPr>
            </w:pPr>
          </w:p>
        </w:tc>
        <w:tc>
          <w:tcPr>
            <w:tcW w:w="738" w:type="pct"/>
          </w:tcPr>
          <w:p w14:paraId="2E05FC86" w14:textId="77777777" w:rsidR="004C0669" w:rsidRPr="00AE5E18" w:rsidRDefault="004C0669" w:rsidP="00AE5E18">
            <w:pPr>
              <w:jc w:val="center"/>
              <w:rPr>
                <w:rFonts w:ascii="Verdana" w:hAnsi="Verdana" w:cstheme="minorHAnsi"/>
                <w:sz w:val="24"/>
                <w:szCs w:val="24"/>
              </w:rPr>
            </w:pPr>
          </w:p>
        </w:tc>
      </w:tr>
      <w:tr w:rsidR="004C0669" w:rsidRPr="00AE5E18" w14:paraId="79BE4518" w14:textId="36B56697" w:rsidTr="004C0669">
        <w:trPr>
          <w:trHeight w:val="875"/>
        </w:trPr>
        <w:tc>
          <w:tcPr>
            <w:tcW w:w="176" w:type="pct"/>
            <w:vAlign w:val="center"/>
          </w:tcPr>
          <w:p w14:paraId="4A9B0EA1" w14:textId="3EB7BAEE"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2</w:t>
            </w:r>
          </w:p>
        </w:tc>
        <w:tc>
          <w:tcPr>
            <w:tcW w:w="3414" w:type="pct"/>
            <w:vAlign w:val="center"/>
            <w:hideMark/>
          </w:tcPr>
          <w:p w14:paraId="013C1A01" w14:textId="6D8CB8D1"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access appropriate support for financial decision making and for concerns relating to money, gambling and consumer rights</w:t>
            </w:r>
          </w:p>
        </w:tc>
        <w:tc>
          <w:tcPr>
            <w:tcW w:w="671" w:type="pct"/>
          </w:tcPr>
          <w:p w14:paraId="3950466C" w14:textId="77777777" w:rsidR="004C0669" w:rsidRPr="00AE5E18" w:rsidRDefault="004C0669" w:rsidP="00AE5E18">
            <w:pPr>
              <w:jc w:val="center"/>
              <w:rPr>
                <w:rFonts w:ascii="Verdana" w:hAnsi="Verdana" w:cstheme="minorHAnsi"/>
                <w:sz w:val="24"/>
                <w:szCs w:val="24"/>
              </w:rPr>
            </w:pPr>
          </w:p>
        </w:tc>
        <w:tc>
          <w:tcPr>
            <w:tcW w:w="738" w:type="pct"/>
          </w:tcPr>
          <w:p w14:paraId="682D7463" w14:textId="77777777" w:rsidR="004C0669" w:rsidRPr="00AE5E18" w:rsidRDefault="004C0669" w:rsidP="00AE5E18">
            <w:pPr>
              <w:jc w:val="center"/>
              <w:rPr>
                <w:rFonts w:ascii="Verdana" w:hAnsi="Verdana" w:cstheme="minorHAnsi"/>
                <w:sz w:val="24"/>
                <w:szCs w:val="24"/>
              </w:rPr>
            </w:pPr>
          </w:p>
        </w:tc>
      </w:tr>
      <w:tr w:rsidR="004C0669" w:rsidRPr="00AE5E18" w14:paraId="6DE3A50F" w14:textId="32D6E962" w:rsidTr="004C0669">
        <w:trPr>
          <w:trHeight w:val="875"/>
        </w:trPr>
        <w:tc>
          <w:tcPr>
            <w:tcW w:w="176" w:type="pct"/>
            <w:vAlign w:val="center"/>
          </w:tcPr>
          <w:p w14:paraId="74702FE8" w14:textId="298B0538"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3</w:t>
            </w:r>
          </w:p>
        </w:tc>
        <w:tc>
          <w:tcPr>
            <w:tcW w:w="3414" w:type="pct"/>
            <w:vAlign w:val="center"/>
            <w:hideMark/>
          </w:tcPr>
          <w:p w14:paraId="136D946C" w14:textId="25C35C39"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understand and build resilience to thinking errors associated with gambling (e.g., gamblers fallacy) the range of gambling related harms, and how to access support for themselves or others</w:t>
            </w:r>
          </w:p>
        </w:tc>
        <w:tc>
          <w:tcPr>
            <w:tcW w:w="671" w:type="pct"/>
          </w:tcPr>
          <w:p w14:paraId="3DB5F2F8" w14:textId="77777777" w:rsidR="004C0669" w:rsidRPr="00AE5E18" w:rsidRDefault="004C0669" w:rsidP="00AE5E18">
            <w:pPr>
              <w:jc w:val="center"/>
              <w:rPr>
                <w:rFonts w:ascii="Verdana" w:hAnsi="Verdana" w:cstheme="minorHAnsi"/>
                <w:sz w:val="24"/>
                <w:szCs w:val="24"/>
              </w:rPr>
            </w:pPr>
          </w:p>
        </w:tc>
        <w:tc>
          <w:tcPr>
            <w:tcW w:w="738" w:type="pct"/>
          </w:tcPr>
          <w:p w14:paraId="79C43242" w14:textId="77777777" w:rsidR="004C0669" w:rsidRPr="00AE5E18" w:rsidRDefault="004C0669" w:rsidP="00AE5E18">
            <w:pPr>
              <w:jc w:val="center"/>
              <w:rPr>
                <w:rFonts w:ascii="Verdana" w:hAnsi="Verdana" w:cstheme="minorHAnsi"/>
                <w:sz w:val="24"/>
                <w:szCs w:val="24"/>
              </w:rPr>
            </w:pPr>
          </w:p>
        </w:tc>
      </w:tr>
      <w:tr w:rsidR="004C0669" w:rsidRPr="00AE5E18" w14:paraId="2563B62E" w14:textId="76C91020" w:rsidTr="004C0669">
        <w:trPr>
          <w:trHeight w:val="875"/>
        </w:trPr>
        <w:tc>
          <w:tcPr>
            <w:tcW w:w="176" w:type="pct"/>
            <w:vAlign w:val="center"/>
          </w:tcPr>
          <w:p w14:paraId="63003A4A" w14:textId="5553F721"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4</w:t>
            </w:r>
          </w:p>
        </w:tc>
        <w:tc>
          <w:tcPr>
            <w:tcW w:w="3414" w:type="pct"/>
            <w:vAlign w:val="center"/>
            <w:hideMark/>
          </w:tcPr>
          <w:p w14:paraId="514028A2" w14:textId="2350A512"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increase confidence in performing emergency first aid and lifesaving skills including use of CPR and defibrillators</w:t>
            </w:r>
          </w:p>
        </w:tc>
        <w:tc>
          <w:tcPr>
            <w:tcW w:w="671" w:type="pct"/>
          </w:tcPr>
          <w:p w14:paraId="3C8F6FCD" w14:textId="77777777" w:rsidR="004C0669" w:rsidRPr="00AE5E18" w:rsidRDefault="004C0669" w:rsidP="00AE5E18">
            <w:pPr>
              <w:jc w:val="center"/>
              <w:rPr>
                <w:rFonts w:ascii="Verdana" w:hAnsi="Verdana" w:cstheme="minorHAnsi"/>
                <w:sz w:val="24"/>
                <w:szCs w:val="24"/>
              </w:rPr>
            </w:pPr>
          </w:p>
        </w:tc>
        <w:tc>
          <w:tcPr>
            <w:tcW w:w="738" w:type="pct"/>
          </w:tcPr>
          <w:p w14:paraId="1A7C8919" w14:textId="77777777" w:rsidR="004C0669" w:rsidRPr="00AE5E18" w:rsidRDefault="004C0669" w:rsidP="00AE5E18">
            <w:pPr>
              <w:jc w:val="center"/>
              <w:rPr>
                <w:rFonts w:ascii="Verdana" w:hAnsi="Verdana" w:cstheme="minorHAnsi"/>
                <w:sz w:val="24"/>
                <w:szCs w:val="24"/>
              </w:rPr>
            </w:pPr>
          </w:p>
        </w:tc>
      </w:tr>
      <w:tr w:rsidR="004C0669" w:rsidRPr="00AE5E18" w14:paraId="1F30212B" w14:textId="36A44618" w:rsidTr="004C0669">
        <w:trPr>
          <w:trHeight w:val="875"/>
        </w:trPr>
        <w:tc>
          <w:tcPr>
            <w:tcW w:w="176" w:type="pct"/>
            <w:vAlign w:val="center"/>
          </w:tcPr>
          <w:p w14:paraId="31E0E6AD" w14:textId="113C9943"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5</w:t>
            </w:r>
          </w:p>
        </w:tc>
        <w:tc>
          <w:tcPr>
            <w:tcW w:w="3414" w:type="pct"/>
            <w:vAlign w:val="center"/>
            <w:hideMark/>
          </w:tcPr>
          <w:p w14:paraId="7D50C8B1" w14:textId="1AC926C4"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recognise and manage negative influence, manipulation, and persuasion in a variety of contexts, including online</w:t>
            </w:r>
          </w:p>
        </w:tc>
        <w:tc>
          <w:tcPr>
            <w:tcW w:w="671" w:type="pct"/>
          </w:tcPr>
          <w:p w14:paraId="3352696F" w14:textId="77777777" w:rsidR="004C0669" w:rsidRPr="00AE5E18" w:rsidRDefault="004C0669" w:rsidP="00AE5E18">
            <w:pPr>
              <w:jc w:val="center"/>
              <w:rPr>
                <w:rFonts w:ascii="Verdana" w:hAnsi="Verdana" w:cstheme="minorHAnsi"/>
                <w:sz w:val="24"/>
                <w:szCs w:val="24"/>
              </w:rPr>
            </w:pPr>
          </w:p>
        </w:tc>
        <w:tc>
          <w:tcPr>
            <w:tcW w:w="738" w:type="pct"/>
          </w:tcPr>
          <w:p w14:paraId="5721E188" w14:textId="77777777" w:rsidR="004C0669" w:rsidRPr="00AE5E18" w:rsidRDefault="004C0669" w:rsidP="00AE5E18">
            <w:pPr>
              <w:jc w:val="center"/>
              <w:rPr>
                <w:rFonts w:ascii="Verdana" w:hAnsi="Verdana" w:cstheme="minorHAnsi"/>
                <w:sz w:val="24"/>
                <w:szCs w:val="24"/>
              </w:rPr>
            </w:pPr>
          </w:p>
        </w:tc>
      </w:tr>
      <w:tr w:rsidR="004C0669" w:rsidRPr="00AE5E18" w14:paraId="6F4A8C7D" w14:textId="49D5FDF1" w:rsidTr="004C0669">
        <w:trPr>
          <w:trHeight w:val="875"/>
        </w:trPr>
        <w:tc>
          <w:tcPr>
            <w:tcW w:w="176" w:type="pct"/>
            <w:vAlign w:val="center"/>
          </w:tcPr>
          <w:p w14:paraId="031882C0" w14:textId="5CD064DF"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6</w:t>
            </w:r>
          </w:p>
        </w:tc>
        <w:tc>
          <w:tcPr>
            <w:tcW w:w="3414" w:type="pct"/>
            <w:vAlign w:val="center"/>
            <w:hideMark/>
          </w:tcPr>
          <w:p w14:paraId="147533A2" w14:textId="67D95A03"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recognise and manage different forms of abuse, sources of support and exit strategies for unhealthy relationships</w:t>
            </w:r>
          </w:p>
        </w:tc>
        <w:tc>
          <w:tcPr>
            <w:tcW w:w="671" w:type="pct"/>
          </w:tcPr>
          <w:p w14:paraId="4FACB6F4" w14:textId="77777777" w:rsidR="004C0669" w:rsidRPr="00AE5E18" w:rsidRDefault="004C0669" w:rsidP="00AE5E18">
            <w:pPr>
              <w:jc w:val="center"/>
              <w:rPr>
                <w:rFonts w:ascii="Verdana" w:hAnsi="Verdana" w:cstheme="minorHAnsi"/>
                <w:sz w:val="24"/>
                <w:szCs w:val="24"/>
              </w:rPr>
            </w:pPr>
          </w:p>
        </w:tc>
        <w:tc>
          <w:tcPr>
            <w:tcW w:w="738" w:type="pct"/>
          </w:tcPr>
          <w:p w14:paraId="317BD0BB" w14:textId="77777777" w:rsidR="004C0669" w:rsidRPr="00AE5E18" w:rsidRDefault="004C0669" w:rsidP="00AE5E18">
            <w:pPr>
              <w:jc w:val="center"/>
              <w:rPr>
                <w:rFonts w:ascii="Verdana" w:hAnsi="Verdana" w:cstheme="minorHAnsi"/>
                <w:sz w:val="24"/>
                <w:szCs w:val="24"/>
              </w:rPr>
            </w:pPr>
          </w:p>
        </w:tc>
      </w:tr>
      <w:tr w:rsidR="004C0669" w:rsidRPr="00AE5E18" w14:paraId="0976BD9D" w14:textId="76036907" w:rsidTr="004C0669">
        <w:trPr>
          <w:trHeight w:val="875"/>
        </w:trPr>
        <w:tc>
          <w:tcPr>
            <w:tcW w:w="176" w:type="pct"/>
            <w:vAlign w:val="center"/>
          </w:tcPr>
          <w:p w14:paraId="22550C47" w14:textId="41BAAE6E"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7</w:t>
            </w:r>
          </w:p>
        </w:tc>
        <w:tc>
          <w:tcPr>
            <w:tcW w:w="3414" w:type="pct"/>
            <w:vAlign w:val="center"/>
            <w:hideMark/>
          </w:tcPr>
          <w:p w14:paraId="19FC91EC" w14:textId="5E5C9F38"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recognise forced marriage and 'honour' based violence; to get help for themselves or others they believe to be at risk</w:t>
            </w:r>
          </w:p>
        </w:tc>
        <w:tc>
          <w:tcPr>
            <w:tcW w:w="671" w:type="pct"/>
          </w:tcPr>
          <w:p w14:paraId="2FC445F5" w14:textId="77777777" w:rsidR="004C0669" w:rsidRPr="00AE5E18" w:rsidRDefault="004C0669" w:rsidP="00AE5E18">
            <w:pPr>
              <w:jc w:val="center"/>
              <w:rPr>
                <w:rFonts w:ascii="Verdana" w:hAnsi="Verdana" w:cstheme="minorHAnsi"/>
                <w:sz w:val="24"/>
                <w:szCs w:val="24"/>
              </w:rPr>
            </w:pPr>
          </w:p>
        </w:tc>
        <w:tc>
          <w:tcPr>
            <w:tcW w:w="738" w:type="pct"/>
          </w:tcPr>
          <w:p w14:paraId="7BE11C3D" w14:textId="77777777" w:rsidR="004C0669" w:rsidRPr="00AE5E18" w:rsidRDefault="004C0669" w:rsidP="00AE5E18">
            <w:pPr>
              <w:jc w:val="center"/>
              <w:rPr>
                <w:rFonts w:ascii="Verdana" w:hAnsi="Verdana" w:cstheme="minorHAnsi"/>
                <w:sz w:val="24"/>
                <w:szCs w:val="24"/>
              </w:rPr>
            </w:pPr>
          </w:p>
        </w:tc>
      </w:tr>
      <w:tr w:rsidR="004C0669" w:rsidRPr="00AE5E18" w14:paraId="74947425" w14:textId="0605432E" w:rsidTr="004C0669">
        <w:trPr>
          <w:trHeight w:val="875"/>
        </w:trPr>
        <w:tc>
          <w:tcPr>
            <w:tcW w:w="176" w:type="pct"/>
            <w:vAlign w:val="center"/>
          </w:tcPr>
          <w:p w14:paraId="1DAADDE5" w14:textId="31C28F9F"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8</w:t>
            </w:r>
          </w:p>
        </w:tc>
        <w:tc>
          <w:tcPr>
            <w:tcW w:w="3414" w:type="pct"/>
            <w:vAlign w:val="center"/>
            <w:hideMark/>
          </w:tcPr>
          <w:p w14:paraId="2B54F053" w14:textId="33C4BD9C"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to understand their rights in relation to harassment (including online) and stalking, and how to access support</w:t>
            </w:r>
          </w:p>
        </w:tc>
        <w:tc>
          <w:tcPr>
            <w:tcW w:w="671" w:type="pct"/>
          </w:tcPr>
          <w:p w14:paraId="373B53F0" w14:textId="77777777" w:rsidR="004C0669" w:rsidRPr="00AE5E18" w:rsidRDefault="004C0669" w:rsidP="00AE5E18">
            <w:pPr>
              <w:jc w:val="center"/>
              <w:rPr>
                <w:rFonts w:ascii="Verdana" w:hAnsi="Verdana" w:cstheme="minorHAnsi"/>
                <w:sz w:val="24"/>
                <w:szCs w:val="24"/>
              </w:rPr>
            </w:pPr>
          </w:p>
        </w:tc>
        <w:tc>
          <w:tcPr>
            <w:tcW w:w="738" w:type="pct"/>
          </w:tcPr>
          <w:p w14:paraId="12EEE84C" w14:textId="77777777" w:rsidR="004C0669" w:rsidRPr="00AE5E18" w:rsidRDefault="004C0669" w:rsidP="00AE5E18">
            <w:pPr>
              <w:jc w:val="center"/>
              <w:rPr>
                <w:rFonts w:ascii="Verdana" w:hAnsi="Verdana" w:cstheme="minorHAnsi"/>
                <w:sz w:val="24"/>
                <w:szCs w:val="24"/>
              </w:rPr>
            </w:pPr>
          </w:p>
        </w:tc>
      </w:tr>
      <w:tr w:rsidR="004C0669" w:rsidRPr="00AE5E18" w14:paraId="5D8697D5" w14:textId="72526201" w:rsidTr="004C0669">
        <w:trPr>
          <w:trHeight w:val="875"/>
        </w:trPr>
        <w:tc>
          <w:tcPr>
            <w:tcW w:w="176" w:type="pct"/>
            <w:vAlign w:val="center"/>
          </w:tcPr>
          <w:p w14:paraId="4A14DFEE" w14:textId="100CA28D"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9</w:t>
            </w:r>
          </w:p>
        </w:tc>
        <w:tc>
          <w:tcPr>
            <w:tcW w:w="3414" w:type="pct"/>
            <w:vAlign w:val="center"/>
            <w:hideMark/>
          </w:tcPr>
          <w:p w14:paraId="7E38A107" w14:textId="3F0F53F6" w:rsidR="004C0669" w:rsidRPr="00AE5E18" w:rsidRDefault="004C0669" w:rsidP="00AE5E18">
            <w:pPr>
              <w:jc w:val="center"/>
              <w:rPr>
                <w:rFonts w:ascii="Verdana" w:hAnsi="Verdana" w:cstheme="minorHAnsi"/>
                <w:sz w:val="24"/>
                <w:szCs w:val="24"/>
              </w:rPr>
            </w:pPr>
            <w:r w:rsidRPr="00AE5E18">
              <w:rPr>
                <w:rFonts w:ascii="Verdana" w:hAnsi="Verdana" w:cstheme="minorHAnsi"/>
                <w:sz w:val="24"/>
                <w:szCs w:val="24"/>
              </w:rPr>
              <w:t>strategies to recognise, de-escalate, and exit aggressive social situations</w:t>
            </w:r>
          </w:p>
        </w:tc>
        <w:tc>
          <w:tcPr>
            <w:tcW w:w="671" w:type="pct"/>
          </w:tcPr>
          <w:p w14:paraId="52E727FD" w14:textId="77777777" w:rsidR="004C0669" w:rsidRPr="00AE5E18" w:rsidRDefault="004C0669" w:rsidP="00AE5E18">
            <w:pPr>
              <w:jc w:val="center"/>
              <w:rPr>
                <w:rFonts w:ascii="Verdana" w:hAnsi="Verdana" w:cstheme="minorHAnsi"/>
                <w:sz w:val="24"/>
                <w:szCs w:val="24"/>
              </w:rPr>
            </w:pPr>
          </w:p>
        </w:tc>
        <w:tc>
          <w:tcPr>
            <w:tcW w:w="738" w:type="pct"/>
          </w:tcPr>
          <w:p w14:paraId="5D86BB9E" w14:textId="77777777" w:rsidR="004C0669" w:rsidRPr="00AE5E18" w:rsidRDefault="004C0669" w:rsidP="00AE5E18">
            <w:pPr>
              <w:jc w:val="center"/>
              <w:rPr>
                <w:rFonts w:ascii="Verdana" w:hAnsi="Verdana" w:cstheme="minorHAnsi"/>
                <w:sz w:val="24"/>
                <w:szCs w:val="24"/>
              </w:rPr>
            </w:pPr>
          </w:p>
        </w:tc>
      </w:tr>
    </w:tbl>
    <w:p w14:paraId="2649CC1B" w14:textId="77777777" w:rsidR="0017156C" w:rsidRDefault="0017156C">
      <w:pPr>
        <w:rPr>
          <w:rFonts w:cstheme="minorHAnsi"/>
          <w:sz w:val="24"/>
          <w:szCs w:val="24"/>
        </w:rPr>
      </w:pPr>
    </w:p>
    <w:p w14:paraId="4D50AA4D" w14:textId="7E91467B" w:rsidR="00C96B26" w:rsidRPr="00AE5E18" w:rsidRDefault="00920585">
      <w:pPr>
        <w:rPr>
          <w:rFonts w:ascii="Verdana" w:hAnsi="Verdana" w:cstheme="minorHAnsi"/>
          <w:b/>
          <w:bCs/>
          <w:sz w:val="24"/>
          <w:szCs w:val="24"/>
        </w:rPr>
      </w:pPr>
      <w:r w:rsidRPr="00AE5E18">
        <w:rPr>
          <w:rFonts w:ascii="Verdana" w:hAnsi="Verdana" w:cstheme="minorHAnsi"/>
          <w:b/>
          <w:bCs/>
          <w:sz w:val="24"/>
          <w:szCs w:val="24"/>
        </w:rPr>
        <w:t>Tier Three Keywords:</w:t>
      </w:r>
    </w:p>
    <w:tbl>
      <w:tblPr>
        <w:tblStyle w:val="TableGrid"/>
        <w:tblW w:w="5000" w:type="pct"/>
        <w:tblLook w:val="04A0" w:firstRow="1" w:lastRow="0" w:firstColumn="1" w:lastColumn="0" w:noHBand="0" w:noVBand="1"/>
      </w:tblPr>
      <w:tblGrid>
        <w:gridCol w:w="1777"/>
        <w:gridCol w:w="1660"/>
        <w:gridCol w:w="1782"/>
        <w:gridCol w:w="1782"/>
        <w:gridCol w:w="1824"/>
        <w:gridCol w:w="1631"/>
      </w:tblGrid>
      <w:tr w:rsidR="00AE5E18" w:rsidRPr="00AE5E18" w14:paraId="56E7C716" w14:textId="77777777" w:rsidTr="00AE5E18">
        <w:trPr>
          <w:trHeight w:val="875"/>
        </w:trPr>
        <w:tc>
          <w:tcPr>
            <w:tcW w:w="879" w:type="pct"/>
          </w:tcPr>
          <w:p w14:paraId="3ED141E8" w14:textId="1B493E51"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Personal safety</w:t>
            </w:r>
          </w:p>
        </w:tc>
        <w:tc>
          <w:tcPr>
            <w:tcW w:w="679" w:type="pct"/>
          </w:tcPr>
          <w:p w14:paraId="7CDA4861" w14:textId="3601D803"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Consumer rights</w:t>
            </w:r>
          </w:p>
        </w:tc>
        <w:tc>
          <w:tcPr>
            <w:tcW w:w="881" w:type="pct"/>
          </w:tcPr>
          <w:p w14:paraId="70A311EF" w14:textId="0A850E8B"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Thinking errors</w:t>
            </w:r>
          </w:p>
        </w:tc>
        <w:tc>
          <w:tcPr>
            <w:tcW w:w="881" w:type="pct"/>
          </w:tcPr>
          <w:p w14:paraId="2F5F40F3" w14:textId="5B4D6B87" w:rsidR="00AE5E18" w:rsidRPr="00AE5E18" w:rsidRDefault="00AE5E18" w:rsidP="00AE5E18">
            <w:pPr>
              <w:jc w:val="center"/>
              <w:rPr>
                <w:rFonts w:ascii="Verdana" w:hAnsi="Verdana" w:cstheme="minorHAnsi"/>
                <w:sz w:val="24"/>
                <w:szCs w:val="24"/>
              </w:rPr>
            </w:pPr>
            <w:r>
              <w:rPr>
                <w:rFonts w:ascii="Verdana" w:hAnsi="Verdana" w:cstheme="minorHAnsi"/>
                <w:sz w:val="24"/>
                <w:szCs w:val="24"/>
              </w:rPr>
              <w:t>Gambler’s fallacy</w:t>
            </w:r>
          </w:p>
        </w:tc>
        <w:tc>
          <w:tcPr>
            <w:tcW w:w="901" w:type="pct"/>
          </w:tcPr>
          <w:p w14:paraId="3AF3EEF7" w14:textId="4C8F4538"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Manipulation</w:t>
            </w:r>
          </w:p>
        </w:tc>
        <w:tc>
          <w:tcPr>
            <w:tcW w:w="780" w:type="pct"/>
          </w:tcPr>
          <w:p w14:paraId="3B235E5C" w14:textId="52FE615B"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Persuasion</w:t>
            </w:r>
          </w:p>
        </w:tc>
      </w:tr>
      <w:tr w:rsidR="00AE5E18" w:rsidRPr="00AE5E18" w14:paraId="5DC8C621" w14:textId="77777777" w:rsidTr="00AE5E18">
        <w:trPr>
          <w:trHeight w:val="875"/>
        </w:trPr>
        <w:tc>
          <w:tcPr>
            <w:tcW w:w="879" w:type="pct"/>
          </w:tcPr>
          <w:p w14:paraId="14CD84C4" w14:textId="236C4757"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w:t>
            </w:r>
            <w:r>
              <w:rPr>
                <w:rFonts w:ascii="Verdana" w:hAnsi="Verdana" w:cstheme="minorHAnsi"/>
                <w:sz w:val="24"/>
                <w:szCs w:val="24"/>
              </w:rPr>
              <w:t>H</w:t>
            </w:r>
            <w:r w:rsidRPr="00AE5E18">
              <w:rPr>
                <w:rFonts w:ascii="Verdana" w:hAnsi="Verdana" w:cstheme="minorHAnsi"/>
                <w:sz w:val="24"/>
                <w:szCs w:val="24"/>
              </w:rPr>
              <w:t>onour’ based violence</w:t>
            </w:r>
          </w:p>
        </w:tc>
        <w:tc>
          <w:tcPr>
            <w:tcW w:w="679" w:type="pct"/>
          </w:tcPr>
          <w:p w14:paraId="2B6B0AA7" w14:textId="2C64E76F"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Harassment</w:t>
            </w:r>
          </w:p>
        </w:tc>
        <w:tc>
          <w:tcPr>
            <w:tcW w:w="881" w:type="pct"/>
          </w:tcPr>
          <w:p w14:paraId="27312DB3" w14:textId="499714F0"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De-escalate</w:t>
            </w:r>
          </w:p>
        </w:tc>
        <w:tc>
          <w:tcPr>
            <w:tcW w:w="881" w:type="pct"/>
          </w:tcPr>
          <w:p w14:paraId="0BEDD48E" w14:textId="4A2753F4" w:rsidR="00AE5E18" w:rsidRPr="00AE5E18" w:rsidRDefault="00AE5E18" w:rsidP="00AE5E18">
            <w:pPr>
              <w:jc w:val="center"/>
              <w:rPr>
                <w:rFonts w:ascii="Verdana" w:hAnsi="Verdana" w:cstheme="minorHAnsi"/>
                <w:sz w:val="24"/>
                <w:szCs w:val="24"/>
              </w:rPr>
            </w:pPr>
            <w:r>
              <w:rPr>
                <w:rFonts w:ascii="Verdana" w:hAnsi="Verdana" w:cstheme="minorHAnsi"/>
                <w:sz w:val="24"/>
                <w:szCs w:val="24"/>
              </w:rPr>
              <w:t>Exit strategies</w:t>
            </w:r>
          </w:p>
        </w:tc>
        <w:tc>
          <w:tcPr>
            <w:tcW w:w="901" w:type="pct"/>
          </w:tcPr>
          <w:p w14:paraId="24B2E7BF" w14:textId="744B6851" w:rsidR="00AE5E18" w:rsidRPr="00AE5E18" w:rsidRDefault="00AE5E18" w:rsidP="00AE5E18">
            <w:pPr>
              <w:jc w:val="center"/>
              <w:rPr>
                <w:rFonts w:ascii="Verdana" w:hAnsi="Verdana" w:cstheme="minorHAnsi"/>
                <w:sz w:val="24"/>
                <w:szCs w:val="24"/>
              </w:rPr>
            </w:pPr>
            <w:r w:rsidRPr="00AE5E18">
              <w:rPr>
                <w:rFonts w:ascii="Verdana" w:hAnsi="Verdana" w:cstheme="minorHAnsi"/>
                <w:sz w:val="24"/>
                <w:szCs w:val="24"/>
              </w:rPr>
              <w:t>CPR</w:t>
            </w:r>
          </w:p>
        </w:tc>
        <w:tc>
          <w:tcPr>
            <w:tcW w:w="780" w:type="pct"/>
          </w:tcPr>
          <w:p w14:paraId="7E715B4E" w14:textId="7FEA6DDF" w:rsidR="00AE5E18" w:rsidRPr="00AE5E18" w:rsidRDefault="00AE5E18" w:rsidP="00AE5E18">
            <w:pPr>
              <w:jc w:val="center"/>
              <w:rPr>
                <w:rFonts w:ascii="Verdana" w:hAnsi="Verdana" w:cstheme="minorHAnsi"/>
                <w:sz w:val="24"/>
                <w:szCs w:val="24"/>
              </w:rPr>
            </w:pPr>
            <w:r>
              <w:rPr>
                <w:rFonts w:ascii="Verdana" w:hAnsi="Verdana" w:cstheme="minorHAnsi"/>
                <w:sz w:val="24"/>
                <w:szCs w:val="24"/>
              </w:rPr>
              <w:t>D</w:t>
            </w:r>
            <w:r w:rsidRPr="00AE5E18">
              <w:rPr>
                <w:rFonts w:ascii="Verdana" w:hAnsi="Verdana" w:cstheme="minorHAnsi"/>
                <w:sz w:val="24"/>
                <w:szCs w:val="24"/>
              </w:rPr>
              <w:t>efibrillator</w:t>
            </w:r>
          </w:p>
        </w:tc>
      </w:tr>
    </w:tbl>
    <w:p w14:paraId="2831AA71" w14:textId="77777777" w:rsidR="00AE5E18" w:rsidRPr="00AE5E18" w:rsidRDefault="00AE5E18">
      <w:pPr>
        <w:rPr>
          <w:rFonts w:ascii="Verdana" w:hAnsi="Verdana" w:cstheme="minorHAnsi"/>
          <w:sz w:val="24"/>
          <w:szCs w:val="24"/>
        </w:rPr>
      </w:pPr>
    </w:p>
    <w:p w14:paraId="5ECA3170" w14:textId="07C568D0" w:rsidR="00C96B26" w:rsidRPr="00AE5E18" w:rsidRDefault="00920585">
      <w:pPr>
        <w:rPr>
          <w:rFonts w:ascii="Verdana" w:hAnsi="Verdana" w:cstheme="minorHAnsi"/>
          <w:b/>
          <w:bCs/>
          <w:sz w:val="24"/>
          <w:szCs w:val="24"/>
        </w:rPr>
      </w:pPr>
      <w:r w:rsidRPr="00AE5E18">
        <w:rPr>
          <w:rFonts w:ascii="Verdana" w:hAnsi="Verdana" w:cstheme="minorHAnsi"/>
          <w:b/>
          <w:bCs/>
          <w:sz w:val="24"/>
          <w:szCs w:val="24"/>
        </w:rPr>
        <w:lastRenderedPageBreak/>
        <w:t>Recommended Reading:</w:t>
      </w:r>
    </w:p>
    <w:tbl>
      <w:tblPr>
        <w:tblStyle w:val="TableGrid"/>
        <w:tblW w:w="5000" w:type="pct"/>
        <w:tblLook w:val="04A0" w:firstRow="1" w:lastRow="0" w:firstColumn="1" w:lastColumn="0" w:noHBand="0" w:noVBand="1"/>
      </w:tblPr>
      <w:tblGrid>
        <w:gridCol w:w="10456"/>
      </w:tblGrid>
      <w:tr w:rsidR="00B245FA" w:rsidRPr="00AE5E18" w14:paraId="430E0E26" w14:textId="77777777" w:rsidTr="004C0669">
        <w:trPr>
          <w:trHeight w:val="4059"/>
        </w:trPr>
        <w:tc>
          <w:tcPr>
            <w:tcW w:w="5000" w:type="pct"/>
          </w:tcPr>
          <w:p w14:paraId="06EE2DF1" w14:textId="77777777" w:rsidR="00925607" w:rsidRPr="00AE5E18" w:rsidRDefault="003A4736" w:rsidP="003A4736">
            <w:pPr>
              <w:shd w:val="clear" w:color="auto" w:fill="FFFFFF"/>
              <w:spacing w:before="240" w:after="120"/>
              <w:outlineLvl w:val="3"/>
              <w:rPr>
                <w:rFonts w:ascii="Verdana" w:eastAsia="Times New Roman" w:hAnsi="Verdana" w:cstheme="minorHAnsi"/>
                <w:i/>
                <w:iCs/>
                <w:sz w:val="24"/>
                <w:szCs w:val="24"/>
                <w:lang w:eastAsia="en-GB"/>
              </w:rPr>
            </w:pPr>
            <w:r w:rsidRPr="00AE5E18">
              <w:rPr>
                <w:rFonts w:ascii="Verdana" w:hAnsi="Verdana"/>
                <w:noProof/>
              </w:rPr>
              <w:drawing>
                <wp:anchor distT="0" distB="0" distL="114300" distR="114300" simplePos="0" relativeHeight="251658240" behindDoc="1" locked="0" layoutInCell="1" allowOverlap="1" wp14:anchorId="0EADEB45" wp14:editId="65D3C06A">
                  <wp:simplePos x="0" y="0"/>
                  <wp:positionH relativeFrom="column">
                    <wp:posOffset>-3175</wp:posOffset>
                  </wp:positionH>
                  <wp:positionV relativeFrom="paragraph">
                    <wp:posOffset>153670</wp:posOffset>
                  </wp:positionV>
                  <wp:extent cx="1173480" cy="1796684"/>
                  <wp:effectExtent l="0" t="0" r="7620" b="0"/>
                  <wp:wrapTight wrapText="bothSides">
                    <wp:wrapPolygon edited="0">
                      <wp:start x="0" y="0"/>
                      <wp:lineTo x="0" y="21302"/>
                      <wp:lineTo x="21390" y="21302"/>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480" cy="1796684"/>
                          </a:xfrm>
                          <a:prstGeom prst="rect">
                            <a:avLst/>
                          </a:prstGeom>
                        </pic:spPr>
                      </pic:pic>
                    </a:graphicData>
                  </a:graphic>
                </wp:anchor>
              </w:drawing>
            </w:r>
            <w:r w:rsidRPr="00AE5E18">
              <w:rPr>
                <w:rFonts w:ascii="Verdana" w:eastAsia="Times New Roman" w:hAnsi="Verdana" w:cstheme="minorHAnsi"/>
                <w:i/>
                <w:iCs/>
                <w:sz w:val="24"/>
                <w:szCs w:val="24"/>
                <w:lang w:eastAsia="en-GB"/>
              </w:rPr>
              <w:t>Killing Honour by Bali Rai</w:t>
            </w:r>
          </w:p>
          <w:p w14:paraId="0FCCE8DD" w14:textId="1838E8FD" w:rsidR="003A4736" w:rsidRPr="00AE5E18" w:rsidRDefault="003A4736" w:rsidP="003A4736">
            <w:pPr>
              <w:shd w:val="clear" w:color="auto" w:fill="FFFFFF"/>
              <w:spacing w:before="240" w:after="120"/>
              <w:outlineLvl w:val="3"/>
              <w:rPr>
                <w:rFonts w:ascii="Verdana" w:eastAsia="Times New Roman" w:hAnsi="Verdana" w:cstheme="minorHAnsi"/>
                <w:i/>
                <w:iCs/>
                <w:sz w:val="24"/>
                <w:szCs w:val="24"/>
                <w:lang w:eastAsia="en-GB"/>
              </w:rPr>
            </w:pPr>
            <w:r w:rsidRPr="00AE5E18">
              <w:rPr>
                <w:rFonts w:ascii="Verdana" w:hAnsi="Verdana" w:cstheme="minorHAnsi"/>
                <w:i/>
                <w:iCs/>
                <w:color w:val="1D1D1D"/>
                <w:spacing w:val="3"/>
                <w:shd w:val="clear" w:color="auto" w:fill="FFFFFF"/>
              </w:rPr>
              <w:t xml:space="preserve">Soon after Sat’s sister Jas marries Taz Atwal, she disappears. Wealthy, crooked, druggy, abusive Taz shows her father lewd Facebook messages from Jas to </w:t>
            </w:r>
            <w:proofErr w:type="spellStart"/>
            <w:r w:rsidRPr="00AE5E18">
              <w:rPr>
                <w:rFonts w:ascii="Verdana" w:hAnsi="Verdana" w:cstheme="minorHAnsi"/>
                <w:i/>
                <w:iCs/>
                <w:color w:val="1D1D1D"/>
                <w:spacing w:val="3"/>
                <w:shd w:val="clear" w:color="auto" w:fill="FFFFFF"/>
              </w:rPr>
              <w:t>Azhar</w:t>
            </w:r>
            <w:proofErr w:type="spellEnd"/>
            <w:r w:rsidRPr="00AE5E18">
              <w:rPr>
                <w:rFonts w:ascii="Verdana" w:hAnsi="Verdana" w:cstheme="minorHAnsi"/>
                <w:i/>
                <w:iCs/>
                <w:color w:val="1D1D1D"/>
                <w:spacing w:val="3"/>
                <w:shd w:val="clear" w:color="auto" w:fill="FFFFFF"/>
              </w:rPr>
              <w:t xml:space="preserve"> Khan as evidence that she has run away from their arranged marriage. Sat’s parents are destroyed, their Sikh honour in tatters. But when Sat discovers that Taz’s brother’s wife also disappeared, he is convinced that Jas has been murdered. Abandoning his schoolwork and his first girlfriend, Sat decides to prove his beloved sister has been killed.</w:t>
            </w:r>
            <w:r w:rsidRPr="00AE5E18">
              <w:rPr>
                <w:rFonts w:ascii="Verdana" w:hAnsi="Verdana" w:cstheme="minorHAnsi"/>
                <w:i/>
                <w:iCs/>
                <w:color w:val="1D1D1D"/>
                <w:spacing w:val="3"/>
              </w:rPr>
              <w:br/>
            </w:r>
            <w:r w:rsidRPr="00AE5E18">
              <w:rPr>
                <w:rFonts w:ascii="Verdana" w:hAnsi="Verdana" w:cstheme="minorHAnsi"/>
                <w:i/>
                <w:iCs/>
                <w:color w:val="1D1D1D"/>
                <w:spacing w:val="3"/>
              </w:rPr>
              <w:br/>
            </w:r>
            <w:r w:rsidRPr="00AE5E18">
              <w:rPr>
                <w:rFonts w:ascii="Verdana" w:hAnsi="Verdana" w:cstheme="minorHAnsi"/>
                <w:i/>
                <w:iCs/>
                <w:color w:val="1D1D1D"/>
                <w:spacing w:val="3"/>
                <w:shd w:val="clear" w:color="auto" w:fill="FFFFFF"/>
              </w:rPr>
              <w:t>A blood-curdling murder story set in Leicester’s Asian community where family honour seems sometimes to count for more than family love. </w:t>
            </w:r>
          </w:p>
        </w:tc>
      </w:tr>
    </w:tbl>
    <w:p w14:paraId="1C76E45F" w14:textId="1E726078" w:rsidR="00C96B26" w:rsidRPr="00687AF6" w:rsidRDefault="00C96B26">
      <w:pPr>
        <w:rPr>
          <w:rFonts w:cstheme="minorHAnsi"/>
          <w:sz w:val="24"/>
          <w:szCs w:val="24"/>
        </w:rPr>
      </w:pPr>
    </w:p>
    <w:sectPr w:rsidR="00C96B26" w:rsidRPr="00687AF6" w:rsidSect="00AE5E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156C"/>
    <w:rsid w:val="001767DC"/>
    <w:rsid w:val="001B080A"/>
    <w:rsid w:val="001B60A2"/>
    <w:rsid w:val="001E7DB3"/>
    <w:rsid w:val="002402A8"/>
    <w:rsid w:val="002763B1"/>
    <w:rsid w:val="00276DAF"/>
    <w:rsid w:val="00281971"/>
    <w:rsid w:val="00387FE0"/>
    <w:rsid w:val="003A4736"/>
    <w:rsid w:val="003D70EC"/>
    <w:rsid w:val="00455F38"/>
    <w:rsid w:val="004C0669"/>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AD03F7"/>
    <w:rsid w:val="00AE5E18"/>
    <w:rsid w:val="00AF4C1A"/>
    <w:rsid w:val="00B10A0F"/>
    <w:rsid w:val="00B245FA"/>
    <w:rsid w:val="00B4349B"/>
    <w:rsid w:val="00C43E4B"/>
    <w:rsid w:val="00C7031D"/>
    <w:rsid w:val="00C96B26"/>
    <w:rsid w:val="00D944D3"/>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 w:id="206467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2</cp:revision>
  <dcterms:created xsi:type="dcterms:W3CDTF">2026-01-06T17:07:00Z</dcterms:created>
  <dcterms:modified xsi:type="dcterms:W3CDTF">2026-01-06T17:07:00Z</dcterms:modified>
</cp:coreProperties>
</file>