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="-289" w:tblpY="-238"/>
        <w:tblW w:w="10982" w:type="dxa"/>
        <w:tblLook w:val="04A0" w:firstRow="1" w:lastRow="0" w:firstColumn="1" w:lastColumn="0" w:noHBand="0" w:noVBand="1"/>
      </w:tblPr>
      <w:tblGrid>
        <w:gridCol w:w="640"/>
        <w:gridCol w:w="1301"/>
        <w:gridCol w:w="2047"/>
        <w:gridCol w:w="3369"/>
        <w:gridCol w:w="3625"/>
      </w:tblGrid>
      <w:tr w:rsidR="00B245FA" w:rsidRPr="00B245FA" w14:paraId="2A531455" w14:textId="77777777" w:rsidTr="00EE516B">
        <w:trPr>
          <w:trHeight w:val="561"/>
        </w:trPr>
        <w:tc>
          <w:tcPr>
            <w:tcW w:w="3988" w:type="dxa"/>
            <w:gridSpan w:val="3"/>
          </w:tcPr>
          <w:p w14:paraId="056BEAE1" w14:textId="0608C032" w:rsidR="00014993" w:rsidRPr="00B245FA" w:rsidRDefault="00B245FA" w:rsidP="00874B5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BF36BF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014993">
              <w:rPr>
                <w:rFonts w:ascii="Verdana" w:hAnsi="Verdana"/>
                <w:b/>
                <w:bCs/>
                <w:sz w:val="24"/>
                <w:szCs w:val="24"/>
              </w:rPr>
              <w:t xml:space="preserve">BR A-Level </w:t>
            </w:r>
          </w:p>
        </w:tc>
        <w:tc>
          <w:tcPr>
            <w:tcW w:w="3369" w:type="dxa"/>
          </w:tcPr>
          <w:p w14:paraId="181E5C95" w14:textId="426A8718" w:rsidR="00B245FA" w:rsidRPr="00B245FA" w:rsidRDefault="00B245FA" w:rsidP="00874B5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BF36BF">
              <w:rPr>
                <w:rFonts w:ascii="Verdana" w:hAnsi="Verdana"/>
                <w:b/>
                <w:bCs/>
                <w:sz w:val="24"/>
                <w:szCs w:val="24"/>
              </w:rPr>
              <w:t>Psychology</w:t>
            </w:r>
          </w:p>
        </w:tc>
        <w:tc>
          <w:tcPr>
            <w:tcW w:w="3623" w:type="dxa"/>
          </w:tcPr>
          <w:p w14:paraId="5FD2855C" w14:textId="665A25F2" w:rsidR="00B245FA" w:rsidRPr="00B245FA" w:rsidRDefault="00B245FA" w:rsidP="00874B5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C15A9E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EE516B">
        <w:trPr>
          <w:trHeight w:val="415"/>
        </w:trPr>
        <w:tc>
          <w:tcPr>
            <w:tcW w:w="1941" w:type="dxa"/>
            <w:gridSpan w:val="2"/>
          </w:tcPr>
          <w:p w14:paraId="503FC8A9" w14:textId="77777777" w:rsidR="00B245FA" w:rsidRPr="00B245FA" w:rsidRDefault="00B245FA" w:rsidP="00874B5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9040" w:type="dxa"/>
            <w:gridSpan w:val="3"/>
          </w:tcPr>
          <w:p w14:paraId="3A01D5AF" w14:textId="7CF0A4BD" w:rsidR="00B245FA" w:rsidRPr="00B245FA" w:rsidRDefault="00BF36BF" w:rsidP="00874B5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Hattie Allan</w:t>
            </w:r>
          </w:p>
        </w:tc>
      </w:tr>
      <w:tr w:rsidR="00B245FA" w:rsidRPr="00B245FA" w14:paraId="0B0B2711" w14:textId="77777777" w:rsidTr="00EE516B">
        <w:trPr>
          <w:trHeight w:val="503"/>
        </w:trPr>
        <w:tc>
          <w:tcPr>
            <w:tcW w:w="10982" w:type="dxa"/>
            <w:gridSpan w:val="5"/>
          </w:tcPr>
          <w:p w14:paraId="151CC055" w14:textId="36218CD4" w:rsidR="00B245FA" w:rsidRPr="00B245FA" w:rsidRDefault="00B245FA" w:rsidP="00874B53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01499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AQA A-Level Psychology </w:t>
            </w:r>
            <w:r w:rsidR="00C667F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–</w:t>
            </w:r>
            <w:r w:rsidR="00874B5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D649E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Y</w:t>
            </w:r>
            <w:r w:rsidR="00C667F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ear </w:t>
            </w:r>
            <w:r w:rsidR="00D649E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2 of </w:t>
            </w:r>
            <w:r w:rsidR="00874B5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</w:p>
        </w:tc>
      </w:tr>
      <w:tr w:rsidR="00B245FA" w:rsidRPr="00B245FA" w14:paraId="351A68E2" w14:textId="77777777" w:rsidTr="00EE516B">
        <w:trPr>
          <w:trHeight w:val="503"/>
        </w:trPr>
        <w:tc>
          <w:tcPr>
            <w:tcW w:w="10982" w:type="dxa"/>
            <w:gridSpan w:val="5"/>
          </w:tcPr>
          <w:p w14:paraId="45E674C4" w14:textId="18ABDD4A" w:rsidR="00B245FA" w:rsidRPr="00B245FA" w:rsidRDefault="00B245FA" w:rsidP="00874B53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3101C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Attachment, </w:t>
            </w:r>
            <w:r w:rsidR="00EE516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Clinical Psychology and Mental Health</w:t>
            </w:r>
          </w:p>
        </w:tc>
      </w:tr>
      <w:tr w:rsidR="00B245FA" w:rsidRPr="00B245FA" w14:paraId="358C24DA" w14:textId="77777777" w:rsidTr="00EE516B">
        <w:trPr>
          <w:trHeight w:val="541"/>
        </w:trPr>
        <w:tc>
          <w:tcPr>
            <w:tcW w:w="640" w:type="dxa"/>
          </w:tcPr>
          <w:p w14:paraId="51366C3C" w14:textId="77777777" w:rsidR="00B245FA" w:rsidRPr="00B245FA" w:rsidRDefault="00B245FA" w:rsidP="00874B5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10341" w:type="dxa"/>
            <w:gridSpan w:val="4"/>
          </w:tcPr>
          <w:p w14:paraId="2FE3143D" w14:textId="1F4ED10E" w:rsidR="00B245FA" w:rsidRPr="00B245FA" w:rsidRDefault="00EE516B" w:rsidP="00874B53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Be able to discuss a</w:t>
            </w:r>
            <w:r w:rsidRPr="00EE516B">
              <w:rPr>
                <w:rFonts w:ascii="Verdana" w:hAnsi="Verdana" w:cstheme="minorHAnsi"/>
                <w:color w:val="002060"/>
                <w:sz w:val="24"/>
                <w:szCs w:val="24"/>
              </w:rPr>
              <w:t>nimal studies of attachment: Lorenz and Harlow.</w:t>
            </w:r>
          </w:p>
        </w:tc>
      </w:tr>
      <w:tr w:rsidR="00B245FA" w:rsidRPr="00B245FA" w14:paraId="4E0D80F6" w14:textId="77777777" w:rsidTr="00EE516B">
        <w:trPr>
          <w:trHeight w:val="541"/>
        </w:trPr>
        <w:tc>
          <w:tcPr>
            <w:tcW w:w="640" w:type="dxa"/>
          </w:tcPr>
          <w:p w14:paraId="49496466" w14:textId="69CBF9F2" w:rsidR="00B245FA" w:rsidRPr="00B245FA" w:rsidRDefault="008046DC" w:rsidP="00874B5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F9D7E3D" w14:textId="77777777" w:rsidR="00B245FA" w:rsidRPr="00B245FA" w:rsidRDefault="00B245FA" w:rsidP="00874B5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0341" w:type="dxa"/>
            <w:gridSpan w:val="4"/>
          </w:tcPr>
          <w:p w14:paraId="7800B430" w14:textId="12F69578" w:rsidR="00B245FA" w:rsidRPr="00B245FA" w:rsidRDefault="00EE516B" w:rsidP="00874B53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Understand e</w:t>
            </w:r>
            <w:r w:rsidRPr="00EE516B">
              <w:rPr>
                <w:rFonts w:ascii="Verdana" w:hAnsi="Verdana" w:cstheme="minorHAnsi"/>
                <w:color w:val="002060"/>
                <w:sz w:val="24"/>
                <w:szCs w:val="24"/>
              </w:rPr>
              <w:t>xplanations of attachment: learning theory and Bowlby’s monotropic theory. The concepts of a critical period and an internal working model.</w:t>
            </w:r>
          </w:p>
        </w:tc>
      </w:tr>
      <w:tr w:rsidR="00B245FA" w:rsidRPr="00B245FA" w14:paraId="5F8539E1" w14:textId="77777777" w:rsidTr="00EE516B">
        <w:trPr>
          <w:trHeight w:val="541"/>
        </w:trPr>
        <w:tc>
          <w:tcPr>
            <w:tcW w:w="640" w:type="dxa"/>
          </w:tcPr>
          <w:p w14:paraId="77192A04" w14:textId="37C32B56" w:rsidR="00B245FA" w:rsidRPr="00B245FA" w:rsidRDefault="008046DC" w:rsidP="00874B5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</w:tc>
        <w:tc>
          <w:tcPr>
            <w:tcW w:w="10341" w:type="dxa"/>
            <w:gridSpan w:val="4"/>
          </w:tcPr>
          <w:p w14:paraId="1B6DD4B1" w14:textId="401C349A" w:rsidR="00B245FA" w:rsidRPr="00B245FA" w:rsidRDefault="00EE516B" w:rsidP="00874B53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Be able to discuss </w:t>
            </w:r>
            <w:r w:rsidRPr="00EE516B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Ainsworth’s ‘Strange Situation.’ Types of attachment: secure, insecure-avoidant and insecure-resistant. Cultural variations in attachment, including van </w:t>
            </w:r>
            <w:proofErr w:type="spellStart"/>
            <w:r w:rsidRPr="00EE516B">
              <w:rPr>
                <w:rFonts w:ascii="Verdana" w:hAnsi="Verdana" w:cstheme="minorHAnsi"/>
                <w:color w:val="002060"/>
                <w:sz w:val="24"/>
                <w:szCs w:val="24"/>
              </w:rPr>
              <w:t>Ijzendoorn</w:t>
            </w:r>
            <w:proofErr w:type="spellEnd"/>
            <w:r w:rsidRPr="00EE516B">
              <w:rPr>
                <w:rFonts w:ascii="Verdana" w:hAnsi="Verdana" w:cstheme="minorHAnsi"/>
                <w:color w:val="002060"/>
                <w:sz w:val="24"/>
                <w:szCs w:val="24"/>
              </w:rPr>
              <w:t>.</w:t>
            </w:r>
          </w:p>
        </w:tc>
      </w:tr>
      <w:tr w:rsidR="00B245FA" w:rsidRPr="00B245FA" w14:paraId="5F8F9DF1" w14:textId="77777777" w:rsidTr="00EE516B">
        <w:trPr>
          <w:trHeight w:val="541"/>
        </w:trPr>
        <w:tc>
          <w:tcPr>
            <w:tcW w:w="640" w:type="dxa"/>
          </w:tcPr>
          <w:p w14:paraId="150A53B1" w14:textId="35BECDFB" w:rsidR="00B245FA" w:rsidRPr="00B245FA" w:rsidRDefault="008046DC" w:rsidP="00874B5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10341" w:type="dxa"/>
            <w:gridSpan w:val="4"/>
          </w:tcPr>
          <w:p w14:paraId="483976CE" w14:textId="59ADA7F5" w:rsidR="00B245FA" w:rsidRPr="00B245FA" w:rsidRDefault="00EE516B" w:rsidP="00874B53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Be able to discuss </w:t>
            </w:r>
            <w:r w:rsidRPr="00EE516B">
              <w:rPr>
                <w:rFonts w:ascii="Verdana" w:hAnsi="Verdana" w:cstheme="minorHAnsi"/>
                <w:color w:val="002060"/>
                <w:sz w:val="24"/>
                <w:szCs w:val="24"/>
              </w:rPr>
              <w:t>Bowlby’s theory of maternal deprivation. Romanian orphan studies: effects of institutionalisation.</w:t>
            </w:r>
          </w:p>
        </w:tc>
      </w:tr>
      <w:tr w:rsidR="00B245FA" w:rsidRPr="00B245FA" w14:paraId="6E33B8A5" w14:textId="77777777" w:rsidTr="00EE516B">
        <w:trPr>
          <w:trHeight w:val="541"/>
        </w:trPr>
        <w:tc>
          <w:tcPr>
            <w:tcW w:w="640" w:type="dxa"/>
          </w:tcPr>
          <w:p w14:paraId="23AB0FFA" w14:textId="0421E22E" w:rsidR="00B245FA" w:rsidRPr="00B245FA" w:rsidRDefault="00773C83" w:rsidP="00874B5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10341" w:type="dxa"/>
            <w:gridSpan w:val="4"/>
          </w:tcPr>
          <w:p w14:paraId="7490B319" w14:textId="0763AA10" w:rsidR="00B245FA" w:rsidRPr="00B245FA" w:rsidRDefault="00EE516B" w:rsidP="00874B53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Be able to discuss 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t</w:t>
            </w:r>
            <w:r w:rsidRPr="00EE516B">
              <w:rPr>
                <w:rFonts w:ascii="Verdana" w:hAnsi="Verdana" w:cstheme="minorHAnsi"/>
                <w:color w:val="002060"/>
                <w:sz w:val="24"/>
                <w:szCs w:val="24"/>
              </w:rPr>
              <w:t>he influence of early attachment on childhood and adult relationships, including the role of an internal working model</w:t>
            </w:r>
          </w:p>
        </w:tc>
      </w:tr>
      <w:tr w:rsidR="00B245FA" w:rsidRPr="00B245FA" w14:paraId="604C67E2" w14:textId="77777777" w:rsidTr="00EE516B">
        <w:trPr>
          <w:trHeight w:val="541"/>
        </w:trPr>
        <w:tc>
          <w:tcPr>
            <w:tcW w:w="640" w:type="dxa"/>
          </w:tcPr>
          <w:p w14:paraId="513F87CE" w14:textId="382B84A6" w:rsidR="00B245FA" w:rsidRPr="00B245FA" w:rsidRDefault="00773C83" w:rsidP="00874B5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10341" w:type="dxa"/>
            <w:gridSpan w:val="4"/>
          </w:tcPr>
          <w:p w14:paraId="0D49B90A" w14:textId="50C3F487" w:rsidR="00B245FA" w:rsidRPr="00B245FA" w:rsidRDefault="00EE516B" w:rsidP="00874B53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Be able to discuss d</w:t>
            </w:r>
            <w:r w:rsidRPr="00EE516B">
              <w:rPr>
                <w:rFonts w:ascii="Verdana" w:hAnsi="Verdana" w:cstheme="minorHAnsi"/>
                <w:color w:val="002060"/>
                <w:sz w:val="24"/>
                <w:szCs w:val="24"/>
              </w:rPr>
              <w:t>efinitions in the field of mental healt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h: </w:t>
            </w:r>
            <w:r w:rsidRPr="00EE516B">
              <w:rPr>
                <w:rFonts w:ascii="Verdana" w:hAnsi="Verdana" w:cstheme="minorHAnsi"/>
                <w:color w:val="002060"/>
                <w:sz w:val="24"/>
                <w:szCs w:val="24"/>
              </w:rPr>
              <w:t>deviation from social norms, failure to function adequately, statistical infrequency and deviation from ideal mental health.</w:t>
            </w:r>
          </w:p>
        </w:tc>
      </w:tr>
      <w:tr w:rsidR="00B245FA" w:rsidRPr="00B245FA" w14:paraId="7E3033AF" w14:textId="77777777" w:rsidTr="00EE516B">
        <w:trPr>
          <w:trHeight w:val="541"/>
        </w:trPr>
        <w:tc>
          <w:tcPr>
            <w:tcW w:w="640" w:type="dxa"/>
          </w:tcPr>
          <w:p w14:paraId="53245A36" w14:textId="77777777" w:rsidR="00B245FA" w:rsidRDefault="00773C83" w:rsidP="00874B5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  <w:p w14:paraId="6E3A2C3B" w14:textId="568BFAE0" w:rsidR="00773C83" w:rsidRPr="00B245FA" w:rsidRDefault="00773C83" w:rsidP="00874B5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0341" w:type="dxa"/>
            <w:gridSpan w:val="4"/>
          </w:tcPr>
          <w:p w14:paraId="48BFB930" w14:textId="0ED91756" w:rsidR="00B245FA" w:rsidRPr="00B245FA" w:rsidRDefault="00EE516B" w:rsidP="00874B53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 xml:space="preserve">Be able to discuss </w:t>
            </w:r>
            <w:r>
              <w:rPr>
                <w:rFonts w:ascii="Verdana" w:hAnsi="Verdana" w:cstheme="minorHAnsi"/>
                <w:color w:val="002060"/>
              </w:rPr>
              <w:t>t</w:t>
            </w:r>
            <w:r w:rsidRPr="00EE516B">
              <w:rPr>
                <w:rFonts w:ascii="Verdana" w:hAnsi="Verdana" w:cstheme="minorHAnsi"/>
                <w:color w:val="002060"/>
              </w:rPr>
              <w:t>he behavioural, emotional and cognitive characteristics of phobias, depression and obsessive-compulsive disorder (OCD).</w:t>
            </w:r>
          </w:p>
        </w:tc>
      </w:tr>
      <w:tr w:rsidR="00B245FA" w:rsidRPr="00B245FA" w14:paraId="23CC12AA" w14:textId="77777777" w:rsidTr="00EE516B">
        <w:trPr>
          <w:trHeight w:val="541"/>
        </w:trPr>
        <w:tc>
          <w:tcPr>
            <w:tcW w:w="640" w:type="dxa"/>
          </w:tcPr>
          <w:p w14:paraId="1A3BCB32" w14:textId="51F54BBE" w:rsidR="00B245FA" w:rsidRPr="00B245FA" w:rsidRDefault="00773C83" w:rsidP="00874B5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10341" w:type="dxa"/>
            <w:gridSpan w:val="4"/>
          </w:tcPr>
          <w:p w14:paraId="02EEF224" w14:textId="247D8219" w:rsidR="00B245FA" w:rsidRPr="00B245FA" w:rsidRDefault="00EE516B" w:rsidP="00874B53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Be able to discuss 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t</w:t>
            </w:r>
            <w:r w:rsidRPr="00EE516B">
              <w:rPr>
                <w:rFonts w:ascii="Verdana" w:hAnsi="Verdana" w:cstheme="minorHAnsi"/>
                <w:color w:val="002060"/>
                <w:sz w:val="24"/>
                <w:szCs w:val="24"/>
              </w:rPr>
              <w:t>he behavioural approach to explaining and treating phobias: the two-process model, including classical and operant conditioning; systematic desensitisation, including relaxation and use of hierarchy; flooding.</w:t>
            </w:r>
          </w:p>
        </w:tc>
      </w:tr>
      <w:tr w:rsidR="00B245FA" w:rsidRPr="00B245FA" w14:paraId="76BC0C43" w14:textId="77777777" w:rsidTr="00EE516B">
        <w:trPr>
          <w:trHeight w:val="541"/>
        </w:trPr>
        <w:tc>
          <w:tcPr>
            <w:tcW w:w="640" w:type="dxa"/>
          </w:tcPr>
          <w:p w14:paraId="66F4D774" w14:textId="77D629B6" w:rsidR="00B245FA" w:rsidRPr="00B245FA" w:rsidRDefault="00773C83" w:rsidP="00874B5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10341" w:type="dxa"/>
            <w:gridSpan w:val="4"/>
          </w:tcPr>
          <w:p w14:paraId="59FA69DC" w14:textId="5D6C21F1" w:rsidR="00B245FA" w:rsidRPr="00B245FA" w:rsidRDefault="00EE516B" w:rsidP="00874B53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Be able to discuss 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t</w:t>
            </w:r>
            <w:r w:rsidRPr="00EE516B">
              <w:rPr>
                <w:rFonts w:ascii="Verdana" w:hAnsi="Verdana" w:cstheme="minorHAnsi"/>
                <w:color w:val="002060"/>
                <w:sz w:val="24"/>
                <w:szCs w:val="24"/>
              </w:rPr>
              <w:t>he cognitive approach to explaining and treating depression: Beck’s negative triad and Ellis’s ABC model; cognitive behaviour therapy (CBT), including challenging irrational thoughts.</w:t>
            </w:r>
          </w:p>
        </w:tc>
      </w:tr>
      <w:tr w:rsidR="00773C83" w:rsidRPr="00B245FA" w14:paraId="372992AA" w14:textId="77777777" w:rsidTr="00EE516B">
        <w:trPr>
          <w:trHeight w:val="541"/>
        </w:trPr>
        <w:tc>
          <w:tcPr>
            <w:tcW w:w="640" w:type="dxa"/>
          </w:tcPr>
          <w:p w14:paraId="110A0FDA" w14:textId="14AA80F5" w:rsidR="00773C83" w:rsidRDefault="00773C83" w:rsidP="00874B5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10341" w:type="dxa"/>
            <w:gridSpan w:val="4"/>
          </w:tcPr>
          <w:p w14:paraId="4A0EDC63" w14:textId="4CDEE2B4" w:rsidR="00773C83" w:rsidRDefault="00EE516B" w:rsidP="00874B53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Be able to discuss 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t</w:t>
            </w:r>
            <w:r w:rsidRPr="00EE516B">
              <w:rPr>
                <w:rFonts w:ascii="Verdana" w:hAnsi="Verdana" w:cstheme="minorHAnsi"/>
                <w:color w:val="002060"/>
                <w:sz w:val="24"/>
                <w:szCs w:val="24"/>
              </w:rPr>
              <w:t>he biological approach to explaining and treating OCD: genetic and neural explanations; drug therapy</w:t>
            </w:r>
          </w:p>
        </w:tc>
      </w:tr>
    </w:tbl>
    <w:p w14:paraId="074F84D8" w14:textId="77777777" w:rsidR="00FF0994" w:rsidRDefault="00FF0994">
      <w:pPr>
        <w:rPr>
          <w:rFonts w:ascii="Verdana" w:hAnsi="Verdana"/>
          <w:color w:val="002060"/>
          <w:sz w:val="24"/>
          <w:szCs w:val="24"/>
        </w:rPr>
      </w:pPr>
    </w:p>
    <w:p w14:paraId="4D50AA4D" w14:textId="5474B144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10971" w:type="dxa"/>
        <w:tblInd w:w="-289" w:type="dxa"/>
        <w:tblLook w:val="04A0" w:firstRow="1" w:lastRow="0" w:firstColumn="1" w:lastColumn="0" w:noHBand="0" w:noVBand="1"/>
      </w:tblPr>
      <w:tblGrid>
        <w:gridCol w:w="2369"/>
        <w:gridCol w:w="1960"/>
        <w:gridCol w:w="2009"/>
        <w:gridCol w:w="1971"/>
        <w:gridCol w:w="2662"/>
      </w:tblGrid>
      <w:tr w:rsidR="00F32F26" w:rsidRPr="00B245FA" w14:paraId="56E7C716" w14:textId="77777777" w:rsidTr="00F32F26">
        <w:trPr>
          <w:trHeight w:val="753"/>
        </w:trPr>
        <w:tc>
          <w:tcPr>
            <w:tcW w:w="2369" w:type="dxa"/>
          </w:tcPr>
          <w:p w14:paraId="3ED141E8" w14:textId="7FFD400C" w:rsidR="00F32F26" w:rsidRPr="00B245FA" w:rsidRDefault="00F32F2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Attachment</w:t>
            </w:r>
          </w:p>
        </w:tc>
        <w:tc>
          <w:tcPr>
            <w:tcW w:w="1960" w:type="dxa"/>
          </w:tcPr>
          <w:p w14:paraId="7CDA4861" w14:textId="2DA748C4" w:rsidR="00F32F26" w:rsidRPr="00B245FA" w:rsidRDefault="00F32F2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OCD</w:t>
            </w:r>
          </w:p>
        </w:tc>
        <w:tc>
          <w:tcPr>
            <w:tcW w:w="2009" w:type="dxa"/>
          </w:tcPr>
          <w:p w14:paraId="5D17AF0B" w14:textId="4ABCD49D" w:rsidR="00F32F26" w:rsidRPr="00B245FA" w:rsidRDefault="00F32F2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Cognitive</w:t>
            </w:r>
          </w:p>
        </w:tc>
        <w:tc>
          <w:tcPr>
            <w:tcW w:w="1971" w:type="dxa"/>
          </w:tcPr>
          <w:p w14:paraId="70A311EF" w14:textId="41F51570" w:rsidR="00F32F26" w:rsidRPr="00B245FA" w:rsidRDefault="00F32F2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Phobia</w:t>
            </w:r>
          </w:p>
        </w:tc>
        <w:tc>
          <w:tcPr>
            <w:tcW w:w="2662" w:type="dxa"/>
          </w:tcPr>
          <w:p w14:paraId="3AF3EEF7" w14:textId="7030EA52" w:rsidR="00F32F26" w:rsidRPr="00B245FA" w:rsidRDefault="00F32F2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Institutionalisation</w:t>
            </w:r>
          </w:p>
        </w:tc>
      </w:tr>
      <w:tr w:rsidR="00F32F26" w:rsidRPr="00B245FA" w14:paraId="5DC8C621" w14:textId="77777777" w:rsidTr="00F32F26">
        <w:trPr>
          <w:trHeight w:val="682"/>
        </w:trPr>
        <w:tc>
          <w:tcPr>
            <w:tcW w:w="2369" w:type="dxa"/>
          </w:tcPr>
          <w:p w14:paraId="14CD84C4" w14:textId="55DB5108" w:rsidR="00F32F26" w:rsidRPr="00B245FA" w:rsidRDefault="00F32F2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Maternal Deprivation</w:t>
            </w:r>
          </w:p>
        </w:tc>
        <w:tc>
          <w:tcPr>
            <w:tcW w:w="1960" w:type="dxa"/>
          </w:tcPr>
          <w:p w14:paraId="2B6B0AA7" w14:textId="78B3D839" w:rsidR="00F32F26" w:rsidRPr="00B245FA" w:rsidRDefault="00F32F2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Depression</w:t>
            </w:r>
          </w:p>
        </w:tc>
        <w:tc>
          <w:tcPr>
            <w:tcW w:w="2009" w:type="dxa"/>
          </w:tcPr>
          <w:p w14:paraId="44846C07" w14:textId="62BE45E7" w:rsidR="00F32F26" w:rsidRPr="00B245FA" w:rsidRDefault="00F32F2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Neural</w:t>
            </w:r>
          </w:p>
        </w:tc>
        <w:tc>
          <w:tcPr>
            <w:tcW w:w="1971" w:type="dxa"/>
          </w:tcPr>
          <w:p w14:paraId="27312DB3" w14:textId="6151FE2A" w:rsidR="00F32F26" w:rsidRPr="00B245FA" w:rsidRDefault="00F32F2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Internal Working Model</w:t>
            </w:r>
          </w:p>
        </w:tc>
        <w:tc>
          <w:tcPr>
            <w:tcW w:w="2662" w:type="dxa"/>
          </w:tcPr>
          <w:p w14:paraId="24B2E7BF" w14:textId="4364B41F" w:rsidR="00F32F26" w:rsidRPr="00B245FA" w:rsidRDefault="00F32F2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Monotropic</w:t>
            </w:r>
          </w:p>
        </w:tc>
      </w:tr>
    </w:tbl>
    <w:p w14:paraId="0AE56DA3" w14:textId="77777777" w:rsidR="00EE516B" w:rsidRDefault="00EE516B">
      <w:pPr>
        <w:rPr>
          <w:rFonts w:ascii="Verdana" w:hAnsi="Verdana"/>
          <w:color w:val="002060"/>
          <w:sz w:val="24"/>
          <w:szCs w:val="24"/>
        </w:rPr>
      </w:pPr>
    </w:p>
    <w:p w14:paraId="197760E6" w14:textId="13645389" w:rsidR="00FF0994" w:rsidRDefault="00874B53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pPr w:leftFromText="180" w:rightFromText="180" w:vertAnchor="text" w:horzAnchor="margin" w:tblpX="-299" w:tblpY="27"/>
        <w:tblW w:w="11252" w:type="dxa"/>
        <w:tblLook w:val="04A0" w:firstRow="1" w:lastRow="0" w:firstColumn="1" w:lastColumn="0" w:noHBand="0" w:noVBand="1"/>
      </w:tblPr>
      <w:tblGrid>
        <w:gridCol w:w="11252"/>
      </w:tblGrid>
      <w:tr w:rsidR="00874B53" w:rsidRPr="00B245FA" w14:paraId="3889CD44" w14:textId="77777777" w:rsidTr="00F32F26">
        <w:trPr>
          <w:trHeight w:val="2810"/>
        </w:trPr>
        <w:tc>
          <w:tcPr>
            <w:tcW w:w="11252" w:type="dxa"/>
          </w:tcPr>
          <w:p w14:paraId="7D716FBB" w14:textId="1D495282" w:rsidR="00874B53" w:rsidRPr="00874B53" w:rsidRDefault="00874B53" w:rsidP="00C667FB">
            <w:pPr>
              <w:shd w:val="clear" w:color="auto" w:fill="FFFFFF"/>
              <w:ind w:right="360"/>
              <w:textAlignment w:val="baseline"/>
              <w:outlineLvl w:val="0"/>
              <w:rPr>
                <w:rFonts w:ascii="Verdana" w:eastAsia="Times New Roman" w:hAnsi="Verdana" w:cs="Helvetica"/>
                <w:b/>
                <w:bCs/>
                <w:color w:val="002060"/>
                <w:kern w:val="36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874B53">
              <w:rPr>
                <w:rFonts w:ascii="Verdana" w:eastAsia="Times New Roman" w:hAnsi="Verdana" w:cs="Helvetica"/>
                <w:b/>
                <w:bCs/>
                <w:noProof/>
                <w:color w:val="002060"/>
                <w:kern w:val="36"/>
                <w:sz w:val="24"/>
                <w:szCs w:val="24"/>
                <w:bdr w:val="none" w:sz="0" w:space="0" w:color="auto" w:frame="1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19948711" wp14:editId="3A9E9762">
                  <wp:simplePos x="0" y="0"/>
                  <wp:positionH relativeFrom="column">
                    <wp:posOffset>12065</wp:posOffset>
                  </wp:positionH>
                  <wp:positionV relativeFrom="paragraph">
                    <wp:posOffset>71755</wp:posOffset>
                  </wp:positionV>
                  <wp:extent cx="1094740" cy="1660525"/>
                  <wp:effectExtent l="0" t="0" r="0" b="0"/>
                  <wp:wrapTight wrapText="bothSides">
                    <wp:wrapPolygon edited="0">
                      <wp:start x="0" y="0"/>
                      <wp:lineTo x="0" y="21311"/>
                      <wp:lineTo x="21049" y="21311"/>
                      <wp:lineTo x="21049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4740" cy="1660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97C20">
              <w:rPr>
                <w:rFonts w:ascii="Verdana" w:eastAsia="Times New Roman" w:hAnsi="Verdana" w:cs="Helvetica"/>
                <w:b/>
                <w:bCs/>
                <w:color w:val="002060"/>
                <w:kern w:val="36"/>
                <w:sz w:val="24"/>
                <w:szCs w:val="24"/>
                <w:bdr w:val="none" w:sz="0" w:space="0" w:color="auto" w:frame="1"/>
                <w:lang w:eastAsia="en-GB"/>
              </w:rPr>
              <w:t>Phantoms in the Brain: Human Nature and the Architecture of the Mind</w:t>
            </w:r>
            <w:r w:rsidRPr="00874B53">
              <w:rPr>
                <w:rFonts w:ascii="Verdana" w:eastAsia="Times New Roman" w:hAnsi="Verdana" w:cs="Helvetica"/>
                <w:b/>
                <w:bCs/>
                <w:color w:val="002060"/>
                <w:kern w:val="36"/>
                <w:sz w:val="24"/>
                <w:szCs w:val="24"/>
                <w:bdr w:val="none" w:sz="0" w:space="0" w:color="auto" w:frame="1"/>
                <w:lang w:eastAsia="en-GB"/>
              </w:rPr>
              <w:t xml:space="preserve"> – By V.S. Ramachandran &amp; Sandra Blakeslee</w:t>
            </w:r>
          </w:p>
          <w:p w14:paraId="4E15E1F2" w14:textId="5B95CF94" w:rsidR="00874B53" w:rsidRPr="00B245FA" w:rsidRDefault="00874B53" w:rsidP="00C667FB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 w:rsidRPr="00874B53">
              <w:rPr>
                <w:rFonts w:ascii="Verdana" w:hAnsi="Verdana" w:cs="Helvetica"/>
                <w:color w:val="002060"/>
                <w:sz w:val="24"/>
                <w:szCs w:val="24"/>
                <w:shd w:val="clear" w:color="auto" w:fill="FFFFFF"/>
              </w:rPr>
              <w:t xml:space="preserve">‘Phantoms in The Brain’, using a series of case histories, introduces strange and unexplored mental worlds. Ramachandran, through his research into brain damage, has discovered that the brain is continually organising itself in response to change. </w:t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 w:rsidSect="00EE516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01879"/>
    <w:rsid w:val="00014922"/>
    <w:rsid w:val="00014993"/>
    <w:rsid w:val="00022828"/>
    <w:rsid w:val="00096358"/>
    <w:rsid w:val="000D1F7C"/>
    <w:rsid w:val="000E349C"/>
    <w:rsid w:val="00152E58"/>
    <w:rsid w:val="001B080A"/>
    <w:rsid w:val="001C439F"/>
    <w:rsid w:val="001D2C2D"/>
    <w:rsid w:val="003101CE"/>
    <w:rsid w:val="004351D1"/>
    <w:rsid w:val="00455F38"/>
    <w:rsid w:val="004F2F39"/>
    <w:rsid w:val="005C2ADA"/>
    <w:rsid w:val="00773C83"/>
    <w:rsid w:val="00782FA5"/>
    <w:rsid w:val="007E5C02"/>
    <w:rsid w:val="008046DC"/>
    <w:rsid w:val="0082039C"/>
    <w:rsid w:val="00874B53"/>
    <w:rsid w:val="008D477B"/>
    <w:rsid w:val="008F6C26"/>
    <w:rsid w:val="00920585"/>
    <w:rsid w:val="009352F5"/>
    <w:rsid w:val="009D0BFB"/>
    <w:rsid w:val="00AD03F7"/>
    <w:rsid w:val="00AF4C1A"/>
    <w:rsid w:val="00B245FA"/>
    <w:rsid w:val="00BF36BF"/>
    <w:rsid w:val="00C15A9E"/>
    <w:rsid w:val="00C667FB"/>
    <w:rsid w:val="00C920EE"/>
    <w:rsid w:val="00C96B26"/>
    <w:rsid w:val="00CB7A05"/>
    <w:rsid w:val="00D649EE"/>
    <w:rsid w:val="00D944D3"/>
    <w:rsid w:val="00EE516B"/>
    <w:rsid w:val="00EF24E8"/>
    <w:rsid w:val="00F04698"/>
    <w:rsid w:val="00F32F26"/>
    <w:rsid w:val="00FF0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Hattie Allan (Kenwood)</cp:lastModifiedBy>
  <cp:revision>2</cp:revision>
  <dcterms:created xsi:type="dcterms:W3CDTF">2025-12-08T09:20:00Z</dcterms:created>
  <dcterms:modified xsi:type="dcterms:W3CDTF">2025-12-08T09:20:00Z</dcterms:modified>
</cp:coreProperties>
</file>