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146" w:type="dxa"/>
        <w:tblLayout w:type="fixed"/>
        <w:tblLook w:val="04A0" w:firstRow="1" w:lastRow="0" w:firstColumn="1" w:lastColumn="0" w:noHBand="0" w:noVBand="1"/>
      </w:tblPr>
      <w:tblGrid>
        <w:gridCol w:w="862"/>
        <w:gridCol w:w="724"/>
        <w:gridCol w:w="2580"/>
        <w:gridCol w:w="2773"/>
        <w:gridCol w:w="1014"/>
        <w:gridCol w:w="1157"/>
        <w:gridCol w:w="36"/>
      </w:tblGrid>
      <w:tr w:rsidR="0066325A" w:rsidRPr="00B245FA" w14:paraId="2A531455" w14:textId="735C5D7D" w:rsidTr="002D07EF">
        <w:trPr>
          <w:trHeight w:val="718"/>
        </w:trPr>
        <w:tc>
          <w:tcPr>
            <w:tcW w:w="4167" w:type="dxa"/>
            <w:gridSpan w:val="3"/>
          </w:tcPr>
          <w:p w14:paraId="494D5D5F" w14:textId="636123AB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0E6222">
              <w:rPr>
                <w:rFonts w:ascii="Verdana" w:hAnsi="Verdana"/>
                <w:b/>
                <w:bCs/>
                <w:sz w:val="24"/>
                <w:szCs w:val="24"/>
              </w:rPr>
              <w:t>AS level Biology Year 2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73" w:type="dxa"/>
          </w:tcPr>
          <w:p w14:paraId="66B7750A" w14:textId="10DEE254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0E6222">
              <w:rPr>
                <w:rFonts w:ascii="Verdana" w:hAnsi="Verdana"/>
                <w:b/>
                <w:bCs/>
                <w:sz w:val="24"/>
                <w:szCs w:val="24"/>
              </w:rPr>
              <w:t>AS level Biology</w:t>
            </w:r>
          </w:p>
        </w:tc>
        <w:tc>
          <w:tcPr>
            <w:tcW w:w="2205" w:type="dxa"/>
            <w:gridSpan w:val="3"/>
          </w:tcPr>
          <w:p w14:paraId="397B7F12" w14:textId="0340A5C0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B0CE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66325A" w:rsidRPr="00B245FA" w14:paraId="736F6FB1" w14:textId="51C6965A" w:rsidTr="002D07EF">
        <w:trPr>
          <w:trHeight w:val="531"/>
        </w:trPr>
        <w:tc>
          <w:tcPr>
            <w:tcW w:w="1587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558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2D07EF">
        <w:trPr>
          <w:trHeight w:val="645"/>
        </w:trPr>
        <w:tc>
          <w:tcPr>
            <w:tcW w:w="9146" w:type="dxa"/>
            <w:gridSpan w:val="7"/>
          </w:tcPr>
          <w:p w14:paraId="7374CCC5" w14:textId="24B07051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E622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Study programme 3 - AS level Biology</w:t>
            </w:r>
          </w:p>
        </w:tc>
      </w:tr>
      <w:tr w:rsidR="00296110" w:rsidRPr="00B245FA" w14:paraId="79D970BC" w14:textId="77777777" w:rsidTr="002D07EF">
        <w:trPr>
          <w:gridAfter w:val="1"/>
          <w:wAfter w:w="35" w:type="dxa"/>
          <w:trHeight w:val="692"/>
        </w:trPr>
        <w:tc>
          <w:tcPr>
            <w:tcW w:w="7954" w:type="dxa"/>
            <w:gridSpan w:val="5"/>
          </w:tcPr>
          <w:p w14:paraId="341C9B97" w14:textId="44D205B8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9644E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>
              <w:t xml:space="preserve"> </w:t>
            </w:r>
            <w:r w:rsidR="009644EF">
              <w:rPr>
                <w:rFonts w:ascii="Verdana" w:hAnsi="Verdana"/>
                <w:color w:val="1F3864" w:themeColor="accent1" w:themeShade="80"/>
                <w:sz w:val="24"/>
                <w:szCs w:val="24"/>
              </w:rPr>
              <w:t>Mass transport</w:t>
            </w:r>
          </w:p>
        </w:tc>
        <w:tc>
          <w:tcPr>
            <w:tcW w:w="1157" w:type="dxa"/>
          </w:tcPr>
          <w:p w14:paraId="2050C6B8" w14:textId="77777777" w:rsidR="00296110" w:rsidRDefault="00296110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6110" w:rsidRPr="00B245FA" w14:paraId="358C24DA" w14:textId="6B0E24FF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51366C3C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090" w:type="dxa"/>
            <w:gridSpan w:val="4"/>
          </w:tcPr>
          <w:p w14:paraId="2FE3143D" w14:textId="32CA486B" w:rsidR="00296110" w:rsidRPr="00B245FA" w:rsidRDefault="009644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and function of haemoglobins and the differences in different organisms.</w:t>
            </w:r>
          </w:p>
        </w:tc>
        <w:tc>
          <w:tcPr>
            <w:tcW w:w="1157" w:type="dxa"/>
          </w:tcPr>
          <w:p w14:paraId="18AE4CF1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73FCEE28" w14:textId="71CA683A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5C6E9DFA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090" w:type="dxa"/>
            <w:gridSpan w:val="4"/>
          </w:tcPr>
          <w:p w14:paraId="5884A6B9" w14:textId="7590B168" w:rsidR="00296110" w:rsidRPr="00B245FA" w:rsidRDefault="009644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nature of an oxygen dissociation curve and the effect of carbon dioxide concentration on the curve.</w:t>
            </w:r>
          </w:p>
        </w:tc>
        <w:tc>
          <w:tcPr>
            <w:tcW w:w="1157" w:type="dxa"/>
          </w:tcPr>
          <w:p w14:paraId="7D0D7F7D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4E0D80F6" w14:textId="09E0D985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49496466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090" w:type="dxa"/>
            <w:gridSpan w:val="4"/>
          </w:tcPr>
          <w:p w14:paraId="7800B430" w14:textId="2C0FC9E7" w:rsidR="00296110" w:rsidRPr="00B245FA" w:rsidRDefault="009644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circulatory system of mammals.</w:t>
            </w:r>
          </w:p>
        </w:tc>
        <w:tc>
          <w:tcPr>
            <w:tcW w:w="1157" w:type="dxa"/>
          </w:tcPr>
          <w:p w14:paraId="12058794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5F8539E1" w14:textId="792EFE72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77192A04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7090" w:type="dxa"/>
            <w:gridSpan w:val="4"/>
          </w:tcPr>
          <w:p w14:paraId="1B6DD4B1" w14:textId="000BE5F5" w:rsidR="00296110" w:rsidRPr="00B245FA" w:rsidRDefault="009644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label the structures of the heart and its associated blood vessels.</w:t>
            </w:r>
          </w:p>
        </w:tc>
        <w:tc>
          <w:tcPr>
            <w:tcW w:w="1157" w:type="dxa"/>
          </w:tcPr>
          <w:p w14:paraId="1AE458C6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6E33B8A5" w14:textId="2062F7E0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23AB0FFA" w14:textId="1D7424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7090" w:type="dxa"/>
            <w:gridSpan w:val="4"/>
          </w:tcPr>
          <w:p w14:paraId="7490B319" w14:textId="1DF8938A" w:rsidR="00296110" w:rsidRPr="00B245FA" w:rsidRDefault="009644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stages of the cardiac cycle</w:t>
            </w:r>
          </w:p>
        </w:tc>
        <w:tc>
          <w:tcPr>
            <w:tcW w:w="1157" w:type="dxa"/>
          </w:tcPr>
          <w:p w14:paraId="0FCC04E0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604C67E2" w14:textId="20E3B734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513F87CE" w14:textId="3B395C72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7090" w:type="dxa"/>
            <w:gridSpan w:val="4"/>
          </w:tcPr>
          <w:p w14:paraId="0D49B90A" w14:textId="55765DF7" w:rsidR="00296110" w:rsidRPr="00B245FA" w:rsidRDefault="002D07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and function of arteries, arterioles, veins and capillaries</w:t>
            </w:r>
          </w:p>
        </w:tc>
        <w:tc>
          <w:tcPr>
            <w:tcW w:w="1157" w:type="dxa"/>
          </w:tcPr>
          <w:p w14:paraId="5AF817B6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7E3033AF" w14:textId="7AB28871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6E3A2C3B" w14:textId="6177348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7090" w:type="dxa"/>
            <w:gridSpan w:val="4"/>
          </w:tcPr>
          <w:p w14:paraId="48BFB930" w14:textId="50C0127C" w:rsidR="00296110" w:rsidRPr="00B245FA" w:rsidRDefault="002D07EF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transport of water in the xylem</w:t>
            </w:r>
          </w:p>
        </w:tc>
        <w:tc>
          <w:tcPr>
            <w:tcW w:w="1157" w:type="dxa"/>
          </w:tcPr>
          <w:p w14:paraId="2E294366" w14:textId="77777777" w:rsidR="00296110" w:rsidRPr="00B245FA" w:rsidRDefault="00296110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96110" w:rsidRPr="00B245FA" w14:paraId="23CC12AA" w14:textId="000B6CB6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1A3BCB32" w14:textId="7741424B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7090" w:type="dxa"/>
            <w:gridSpan w:val="4"/>
          </w:tcPr>
          <w:p w14:paraId="02EEF224" w14:textId="21235686" w:rsidR="00296110" w:rsidRPr="00B245FA" w:rsidRDefault="002D07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mass flow mechanism for the transport of organic substances in the phloem</w:t>
            </w:r>
          </w:p>
        </w:tc>
        <w:tc>
          <w:tcPr>
            <w:tcW w:w="1157" w:type="dxa"/>
          </w:tcPr>
          <w:p w14:paraId="51562EA0" w14:textId="7777777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76BC0C43" w14:textId="724785EB" w:rsidTr="002D07EF">
        <w:trPr>
          <w:gridAfter w:val="1"/>
          <w:wAfter w:w="36" w:type="dxa"/>
          <w:trHeight w:val="692"/>
        </w:trPr>
        <w:tc>
          <w:tcPr>
            <w:tcW w:w="863" w:type="dxa"/>
          </w:tcPr>
          <w:p w14:paraId="66F4D774" w14:textId="0BEA49B5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7090" w:type="dxa"/>
            <w:gridSpan w:val="4"/>
          </w:tcPr>
          <w:p w14:paraId="59FA69DC" w14:textId="6531D099" w:rsidR="00296110" w:rsidRPr="00B245FA" w:rsidRDefault="002D07EF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use of ringing experiments to investigate transport in plants</w:t>
            </w:r>
          </w:p>
        </w:tc>
        <w:tc>
          <w:tcPr>
            <w:tcW w:w="1157" w:type="dxa"/>
          </w:tcPr>
          <w:p w14:paraId="3CE96F06" w14:textId="7777777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Pr="002D07EF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449"/>
        <w:gridCol w:w="2058"/>
        <w:gridCol w:w="1771"/>
        <w:gridCol w:w="2128"/>
        <w:gridCol w:w="1668"/>
      </w:tblGrid>
      <w:tr w:rsidR="00296110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3FA7CAC0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296110">
              <w:rPr>
                <w:rFonts w:ascii="Verdana" w:hAnsi="Verdana"/>
                <w:color w:val="002060"/>
                <w:sz w:val="24"/>
                <w:szCs w:val="24"/>
              </w:rPr>
              <w:t>Exchange surface</w:t>
            </w:r>
          </w:p>
        </w:tc>
        <w:tc>
          <w:tcPr>
            <w:tcW w:w="1825" w:type="dxa"/>
          </w:tcPr>
          <w:p w14:paraId="7CDA4861" w14:textId="7A79556A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Active transport</w:t>
            </w:r>
          </w:p>
        </w:tc>
        <w:tc>
          <w:tcPr>
            <w:tcW w:w="1823" w:type="dxa"/>
          </w:tcPr>
          <w:p w14:paraId="5D17AF0B" w14:textId="2830351C" w:rsidR="0066325A" w:rsidRPr="00B245FA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cohesion</w:t>
            </w:r>
          </w:p>
        </w:tc>
        <w:tc>
          <w:tcPr>
            <w:tcW w:w="2255" w:type="dxa"/>
          </w:tcPr>
          <w:p w14:paraId="70A311EF" w14:textId="590A2084" w:rsidR="0066325A" w:rsidRPr="00B245FA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transpiration</w:t>
            </w:r>
          </w:p>
        </w:tc>
        <w:tc>
          <w:tcPr>
            <w:tcW w:w="1696" w:type="dxa"/>
          </w:tcPr>
          <w:p w14:paraId="3AF3EEF7" w14:textId="1D9F773D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Circulatory </w:t>
            </w:r>
          </w:p>
        </w:tc>
      </w:tr>
      <w:tr w:rsidR="00296110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74B24495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825" w:type="dxa"/>
          </w:tcPr>
          <w:p w14:paraId="2B6B0AA7" w14:textId="72011108" w:rsidR="0066325A" w:rsidRPr="00B245FA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atrio</w:t>
            </w:r>
            <w:r w:rsidR="000B0CE9">
              <w:rPr>
                <w:rFonts w:ascii="Verdana" w:hAnsi="Verdana"/>
                <w:color w:val="002060"/>
                <w:sz w:val="24"/>
                <w:szCs w:val="24"/>
              </w:rPr>
              <w:t>ventricular</w:t>
            </w:r>
          </w:p>
        </w:tc>
        <w:tc>
          <w:tcPr>
            <w:tcW w:w="1823" w:type="dxa"/>
          </w:tcPr>
          <w:p w14:paraId="44846C07" w14:textId="33CFE07B" w:rsidR="0066325A" w:rsidRPr="00B245FA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ventricular</w:t>
            </w:r>
          </w:p>
        </w:tc>
        <w:tc>
          <w:tcPr>
            <w:tcW w:w="2255" w:type="dxa"/>
          </w:tcPr>
          <w:p w14:paraId="27312DB3" w14:textId="6ACE4E78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Ventilation </w:t>
            </w:r>
          </w:p>
        </w:tc>
        <w:tc>
          <w:tcPr>
            <w:tcW w:w="1696" w:type="dxa"/>
          </w:tcPr>
          <w:p w14:paraId="24B2E7BF" w14:textId="386F1601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arteries</w:t>
            </w:r>
          </w:p>
        </w:tc>
      </w:tr>
      <w:tr w:rsidR="00296110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70E4AEF3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Osmosis</w:t>
            </w:r>
          </w:p>
        </w:tc>
        <w:tc>
          <w:tcPr>
            <w:tcW w:w="1825" w:type="dxa"/>
          </w:tcPr>
          <w:p w14:paraId="3009187A" w14:textId="4A46E3A1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Surface area</w:t>
            </w:r>
          </w:p>
        </w:tc>
        <w:tc>
          <w:tcPr>
            <w:tcW w:w="1823" w:type="dxa"/>
          </w:tcPr>
          <w:p w14:paraId="67FCC52D" w14:textId="49D608F2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Lamellae </w:t>
            </w:r>
          </w:p>
        </w:tc>
        <w:tc>
          <w:tcPr>
            <w:tcW w:w="2255" w:type="dxa"/>
          </w:tcPr>
          <w:p w14:paraId="67254CC7" w14:textId="4499CC98" w:rsidR="0066325A" w:rsidRPr="00B245FA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translocation</w:t>
            </w:r>
          </w:p>
        </w:tc>
        <w:tc>
          <w:tcPr>
            <w:tcW w:w="1696" w:type="dxa"/>
          </w:tcPr>
          <w:p w14:paraId="1CFF4AAF" w14:textId="67659380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bronchioles</w:t>
            </w:r>
          </w:p>
        </w:tc>
      </w:tr>
      <w:tr w:rsidR="00296110" w:rsidRPr="00B245FA" w14:paraId="49ED74C6" w14:textId="77777777" w:rsidTr="0066325A">
        <w:trPr>
          <w:trHeight w:val="510"/>
        </w:trPr>
        <w:tc>
          <w:tcPr>
            <w:tcW w:w="1475" w:type="dxa"/>
          </w:tcPr>
          <w:p w14:paraId="018ABD95" w14:textId="3A7A21D1" w:rsidR="00296110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xylem</w:t>
            </w:r>
          </w:p>
        </w:tc>
        <w:tc>
          <w:tcPr>
            <w:tcW w:w="1825" w:type="dxa"/>
          </w:tcPr>
          <w:p w14:paraId="4297B074" w14:textId="29B43B55" w:rsidR="00296110" w:rsidRDefault="00EC5C9B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correlation</w:t>
            </w:r>
          </w:p>
        </w:tc>
        <w:tc>
          <w:tcPr>
            <w:tcW w:w="1823" w:type="dxa"/>
          </w:tcPr>
          <w:p w14:paraId="50593C3D" w14:textId="08786F76" w:rsidR="00296110" w:rsidRDefault="00EC5C9B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adaptations</w:t>
            </w:r>
          </w:p>
        </w:tc>
        <w:tc>
          <w:tcPr>
            <w:tcW w:w="2255" w:type="dxa"/>
          </w:tcPr>
          <w:p w14:paraId="0A68DD42" w14:textId="2A1A8E4C" w:rsidR="00296110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phloem</w:t>
            </w:r>
          </w:p>
        </w:tc>
        <w:tc>
          <w:tcPr>
            <w:tcW w:w="1696" w:type="dxa"/>
          </w:tcPr>
          <w:p w14:paraId="73FCF26F" w14:textId="66CF5CE6" w:rsidR="00296110" w:rsidRDefault="002D07EF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Mass flow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92C488C" w14:textId="26C84059" w:rsidR="00EC5C9B" w:rsidRPr="00EC5C9B" w:rsidRDefault="00EC5C9B" w:rsidP="007944BE">
            <w:pPr>
              <w:shd w:val="clear" w:color="auto" w:fill="FFFFFF"/>
              <w:spacing w:before="240" w:after="120"/>
              <w:outlineLvl w:val="3"/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3F54BEC4" wp14:editId="7010033A">
                  <wp:simplePos x="0" y="0"/>
                  <wp:positionH relativeFrom="column">
                    <wp:posOffset>4203065</wp:posOffset>
                  </wp:positionH>
                  <wp:positionV relativeFrom="paragraph">
                    <wp:posOffset>26670</wp:posOffset>
                  </wp:positionV>
                  <wp:extent cx="1374140" cy="2082165"/>
                  <wp:effectExtent l="0" t="0" r="0" b="0"/>
                  <wp:wrapThrough wrapText="bothSides">
                    <wp:wrapPolygon edited="0">
                      <wp:start x="0" y="0"/>
                      <wp:lineTo x="0" y="21343"/>
                      <wp:lineTo x="21261" y="21343"/>
                      <wp:lineTo x="2126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140" cy="2082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C5C9B"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  <w:t>The Immortal Life of Henrietta Lacks</w:t>
            </w:r>
            <w:r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  <w:t xml:space="preserve"> </w:t>
            </w:r>
            <w:r w:rsidRPr="00EC5C9B"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  <w:t>by Rebecca Skloot:</w:t>
            </w:r>
          </w:p>
          <w:p w14:paraId="0FCCE8DD" w14:textId="45E2BF0D" w:rsidR="00B245FA" w:rsidRPr="00B245FA" w:rsidRDefault="00EC5C9B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EC5C9B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This book tells the captivating story of Henrietta Lacks, whose cancer cells were taken without her knowledge and became one of the most important tools in medicine. It’s a powerful narrative that explores ethics, race, and the history of medicine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B0CE9"/>
    <w:rsid w:val="000D1F7C"/>
    <w:rsid w:val="000E349C"/>
    <w:rsid w:val="000E6222"/>
    <w:rsid w:val="0013211C"/>
    <w:rsid w:val="00152E58"/>
    <w:rsid w:val="001B080A"/>
    <w:rsid w:val="00296110"/>
    <w:rsid w:val="002D07EF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644EF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944D3"/>
    <w:rsid w:val="00DD37E2"/>
    <w:rsid w:val="00E43F44"/>
    <w:rsid w:val="00EC5C9B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C5C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2026-01-12T15:42:00Z</dcterms:created>
  <dcterms:modified xsi:type="dcterms:W3CDTF">2026-01-12T15:42:00Z</dcterms:modified>
</cp:coreProperties>
</file>