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489C083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B3D03" w:rsidRPr="00EB3D03">
              <w:rPr>
                <w:rFonts w:ascii="Verdana" w:hAnsi="Verdana"/>
                <w:b/>
                <w:bCs/>
              </w:rPr>
              <w:t>Willow and Rowan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0BA67A4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41DA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596A7C7" w:rsidR="00B245FA" w:rsidRPr="00B245FA" w:rsidRDefault="00EB3D0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Jodie Burgin</w:t>
            </w:r>
          </w:p>
        </w:tc>
      </w:tr>
      <w:tr w:rsidR="00B245FA" w:rsidRPr="00B245FA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7715DBEF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41DA4">
              <w:rPr>
                <w:rFonts w:ascii="Verdana" w:hAnsi="Verdana"/>
                <w:b/>
                <w:bCs/>
                <w:sz w:val="24"/>
                <w:szCs w:val="24"/>
              </w:rPr>
              <w:t>Secondary Ready: Fundamentals</w:t>
            </w:r>
          </w:p>
          <w:p w14:paraId="151CC055" w14:textId="2F35A89D" w:rsidR="00EB3D03" w:rsidRPr="00B245FA" w:rsidRDefault="00EB3D0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Securing Foundations NCETM materials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4EEC18B0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441DA4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8A0EA5">
              <w:rPr>
                <w:rFonts w:cstheme="minorHAnsi"/>
                <w:sz w:val="24"/>
                <w:szCs w:val="24"/>
              </w:rPr>
              <w:t xml:space="preserve">We will explore non-standard partitioning to see how it can make subtraction problems easier. We will then move on to multiplicative reasoning. Exploring the relationships that are underpinned by a multiplicative structure, not simply the process of completing multiplications. </w:t>
            </w:r>
            <w:r w:rsidR="008A0EA5" w:rsidRPr="008A0EA5">
              <w:rPr>
                <w:rFonts w:cstheme="minorHAnsi"/>
                <w:sz w:val="24"/>
                <w:szCs w:val="24"/>
              </w:rPr>
              <w:t>Through exploring factor and product relationships, commutativity and distribution, students will develop their understanding of multiplication and division</w:t>
            </w:r>
            <w:r w:rsidR="008A0EA5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tbl>
      <w:tblPr>
        <w:tblW w:w="515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77"/>
        <w:gridCol w:w="1068"/>
        <w:gridCol w:w="4303"/>
        <w:gridCol w:w="1625"/>
        <w:gridCol w:w="1147"/>
        <w:gridCol w:w="1160"/>
        <w:gridCol w:w="984"/>
      </w:tblGrid>
      <w:tr w:rsidR="00831BCF" w:rsidRPr="00D76A23" w14:paraId="6B6CAEA5" w14:textId="77777777" w:rsidTr="00EB3D03">
        <w:trPr>
          <w:trHeight w:val="555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EB3D03">
        <w:trPr>
          <w:trHeight w:val="399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D87A62" w:rsidRPr="00D76A23" w14:paraId="23095E5E" w14:textId="4951FCFA" w:rsidTr="00EB3D03">
        <w:trPr>
          <w:trHeight w:val="72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1819FA16" w14:textId="71A853EC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61A8661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partition into ones, tens and hundreds up to 1000</w:t>
            </w:r>
          </w:p>
        </w:tc>
        <w:tc>
          <w:tcPr>
            <w:tcW w:w="755" w:type="pct"/>
          </w:tcPr>
          <w:p w14:paraId="6EB5C03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20E7B2C4" w14:textId="34357C51" w:rsidTr="00EB3D03">
        <w:trPr>
          <w:trHeight w:val="72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012DE87C" w14:textId="14607238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530A923A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use non-standard partitioning to make subtraction problems easier to deal with</w:t>
            </w:r>
          </w:p>
        </w:tc>
        <w:tc>
          <w:tcPr>
            <w:tcW w:w="755" w:type="pct"/>
          </w:tcPr>
          <w:p w14:paraId="0AAEA2C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6362422B" w14:textId="084FAD9C" w:rsidTr="00EB3D03">
        <w:trPr>
          <w:trHeight w:val="72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6F4A1004" w14:textId="5798AAA3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16D71AD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can connect multiplication represented using unitised counters, words and symbols</w:t>
            </w:r>
          </w:p>
        </w:tc>
        <w:tc>
          <w:tcPr>
            <w:tcW w:w="755" w:type="pct"/>
          </w:tcPr>
          <w:p w14:paraId="5E0DA5E3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182DD407" w14:textId="3297C639" w:rsidTr="00EB3D03">
        <w:trPr>
          <w:trHeight w:val="72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21057BD1" w14:textId="552C711B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24FC06F5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Recognise that doubling can always be represented by 2 unitised counters and a multiplication expression in which one factor is always 2</w:t>
            </w:r>
          </w:p>
        </w:tc>
        <w:tc>
          <w:tcPr>
            <w:tcW w:w="755" w:type="pct"/>
          </w:tcPr>
          <w:p w14:paraId="75F11CA3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381B7F2A" w14:textId="599C9EF1" w:rsidTr="00EB3D03">
        <w:trPr>
          <w:trHeight w:val="72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795ECAB7" w14:textId="73A398ED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3A20BAD3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am able to recognise that when multiplying by n, the product will be a multiple of n</w:t>
            </w:r>
          </w:p>
        </w:tc>
        <w:tc>
          <w:tcPr>
            <w:tcW w:w="755" w:type="pct"/>
          </w:tcPr>
          <w:p w14:paraId="01FEBC5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45D30844" w14:textId="465AF19A" w:rsidTr="00EB3D03">
        <w:trPr>
          <w:trHeight w:val="65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60C35C72" w14:textId="29458FCB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6CAA2F37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can represent multiplications as an array and understand how they can show multiplication as an area model</w:t>
            </w:r>
          </w:p>
        </w:tc>
        <w:tc>
          <w:tcPr>
            <w:tcW w:w="755" w:type="pct"/>
          </w:tcPr>
          <w:p w14:paraId="05659086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1C2CEDAC" w14:textId="43776727" w:rsidTr="00EB3D03">
        <w:trPr>
          <w:trHeight w:val="634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74E6380E" w14:textId="57E25454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20CA0464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understand the commutative property of multiplication to recognise that the order of the factors does not change the product</w:t>
            </w:r>
          </w:p>
        </w:tc>
        <w:tc>
          <w:tcPr>
            <w:tcW w:w="755" w:type="pct"/>
          </w:tcPr>
          <w:p w14:paraId="7B468D5F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728EE60D" w14:textId="071B5C43" w:rsidTr="00EB3D03">
        <w:trPr>
          <w:trHeight w:val="702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47D7D3B7" w14:textId="01173D0F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738E1BEC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can use the distributive property to explore why, for example, 12 times a number is equal to 10 times the number add 2 times the number</w:t>
            </w:r>
          </w:p>
        </w:tc>
        <w:tc>
          <w:tcPr>
            <w:tcW w:w="755" w:type="pct"/>
          </w:tcPr>
          <w:p w14:paraId="1D210E12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121309D9" w14:textId="0EF5C9CA" w:rsidTr="00EB3D03">
        <w:trPr>
          <w:trHeight w:val="79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4DB0DE66" w14:textId="2DD224C6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4D4062F2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87A6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use commutativity, distributivity and composition to deduce and recall multiplication facts to 12 x 12</w:t>
            </w:r>
          </w:p>
        </w:tc>
        <w:tc>
          <w:tcPr>
            <w:tcW w:w="755" w:type="pct"/>
          </w:tcPr>
          <w:p w14:paraId="14166C59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87A62" w:rsidRPr="00D76A23" w14:paraId="33B3875F" w14:textId="77777777" w:rsidTr="00EB3D03">
        <w:trPr>
          <w:trHeight w:val="672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D87A62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62817A88" w14:textId="71D97E7E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3FD69B50" w:rsidR="00D87A62" w:rsidRPr="00825AD5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</w:rPr>
              <w:t>I recognise square numbers as a special set of times table facts</w:t>
            </w:r>
          </w:p>
        </w:tc>
        <w:tc>
          <w:tcPr>
            <w:tcW w:w="755" w:type="pct"/>
          </w:tcPr>
          <w:p w14:paraId="5C295E97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D87A62" w:rsidRPr="00D76A23" w:rsidRDefault="00D87A62" w:rsidP="00D87A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631" w:type="dxa"/>
        <w:tblLook w:val="04A0" w:firstRow="1" w:lastRow="0" w:firstColumn="1" w:lastColumn="0" w:noHBand="0" w:noVBand="1"/>
      </w:tblPr>
      <w:tblGrid>
        <w:gridCol w:w="2412"/>
        <w:gridCol w:w="2051"/>
        <w:gridCol w:w="2116"/>
        <w:gridCol w:w="2196"/>
        <w:gridCol w:w="1856"/>
      </w:tblGrid>
      <w:tr w:rsidR="00825AD5" w:rsidRPr="001B0CDB" w14:paraId="4A03E27A" w14:textId="77777777" w:rsidTr="00EB3D03">
        <w:trPr>
          <w:trHeight w:val="322"/>
        </w:trPr>
        <w:tc>
          <w:tcPr>
            <w:tcW w:w="2412" w:type="dxa"/>
          </w:tcPr>
          <w:p w14:paraId="6F777B50" w14:textId="02FF6DEB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partition</w:t>
            </w:r>
          </w:p>
        </w:tc>
        <w:tc>
          <w:tcPr>
            <w:tcW w:w="2051" w:type="dxa"/>
          </w:tcPr>
          <w:p w14:paraId="55C298C8" w14:textId="52637B36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addend</w:t>
            </w:r>
          </w:p>
        </w:tc>
        <w:tc>
          <w:tcPr>
            <w:tcW w:w="2116" w:type="dxa"/>
          </w:tcPr>
          <w:p w14:paraId="256C2014" w14:textId="2CF16831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subtrahend</w:t>
            </w:r>
          </w:p>
        </w:tc>
        <w:tc>
          <w:tcPr>
            <w:tcW w:w="2196" w:type="dxa"/>
          </w:tcPr>
          <w:p w14:paraId="40175690" w14:textId="2A9DB2BD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minuend</w:t>
            </w:r>
          </w:p>
        </w:tc>
        <w:tc>
          <w:tcPr>
            <w:tcW w:w="1856" w:type="dxa"/>
          </w:tcPr>
          <w:p w14:paraId="5A60AE19" w14:textId="18945B59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difference</w:t>
            </w:r>
          </w:p>
        </w:tc>
      </w:tr>
      <w:tr w:rsidR="00825AD5" w:rsidRPr="001B0CDB" w14:paraId="0B15E59C" w14:textId="77777777" w:rsidTr="00EB3D03">
        <w:trPr>
          <w:trHeight w:val="322"/>
        </w:trPr>
        <w:tc>
          <w:tcPr>
            <w:tcW w:w="2412" w:type="dxa"/>
          </w:tcPr>
          <w:p w14:paraId="121443A8" w14:textId="69DFB5B6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</w:t>
            </w:r>
          </w:p>
        </w:tc>
        <w:tc>
          <w:tcPr>
            <w:tcW w:w="2051" w:type="dxa"/>
          </w:tcPr>
          <w:p w14:paraId="2E7435A3" w14:textId="06013402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product</w:t>
            </w:r>
          </w:p>
        </w:tc>
        <w:tc>
          <w:tcPr>
            <w:tcW w:w="2116" w:type="dxa"/>
          </w:tcPr>
          <w:p w14:paraId="3B3A6B22" w14:textId="25EA2203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commutativity</w:t>
            </w:r>
          </w:p>
        </w:tc>
        <w:tc>
          <w:tcPr>
            <w:tcW w:w="2196" w:type="dxa"/>
          </w:tcPr>
          <w:p w14:paraId="4B2CC4AD" w14:textId="1B86F9F9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distribution</w:t>
            </w:r>
          </w:p>
        </w:tc>
        <w:tc>
          <w:tcPr>
            <w:tcW w:w="1856" w:type="dxa"/>
          </w:tcPr>
          <w:p w14:paraId="0F820C13" w14:textId="19121EB6" w:rsidR="00825AD5" w:rsidRPr="001B0CDB" w:rsidRDefault="00E071FB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division</w:t>
            </w:r>
          </w:p>
        </w:tc>
      </w:tr>
      <w:tr w:rsidR="00EB3D03" w:rsidRPr="001B0CDB" w14:paraId="330E69C7" w14:textId="77777777" w:rsidTr="00EB3D03">
        <w:trPr>
          <w:trHeight w:val="322"/>
        </w:trPr>
        <w:tc>
          <w:tcPr>
            <w:tcW w:w="2412" w:type="dxa"/>
          </w:tcPr>
          <w:p w14:paraId="545738DA" w14:textId="44658B9B" w:rsidR="00EB3D03" w:rsidRDefault="00EB3D03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sum</w:t>
            </w:r>
          </w:p>
        </w:tc>
        <w:tc>
          <w:tcPr>
            <w:tcW w:w="2051" w:type="dxa"/>
          </w:tcPr>
          <w:p w14:paraId="312CD578" w14:textId="00EC9F15" w:rsidR="00EB3D03" w:rsidRDefault="00EB3D03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dividend</w:t>
            </w:r>
          </w:p>
        </w:tc>
        <w:tc>
          <w:tcPr>
            <w:tcW w:w="2116" w:type="dxa"/>
          </w:tcPr>
          <w:p w14:paraId="20062101" w14:textId="0ED57035" w:rsidR="00EB3D03" w:rsidRDefault="00EB3D03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divisor</w:t>
            </w:r>
          </w:p>
        </w:tc>
        <w:tc>
          <w:tcPr>
            <w:tcW w:w="2196" w:type="dxa"/>
          </w:tcPr>
          <w:p w14:paraId="262CF6FC" w14:textId="5A48E983" w:rsidR="00EB3D03" w:rsidRDefault="00EB3D03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quotient</w:t>
            </w:r>
          </w:p>
        </w:tc>
        <w:tc>
          <w:tcPr>
            <w:tcW w:w="1856" w:type="dxa"/>
          </w:tcPr>
          <w:p w14:paraId="260BF04C" w14:textId="1ACCF3D4" w:rsidR="00EB3D03" w:rsidRDefault="00EB3D03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multiplication</w:t>
            </w: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06B88"/>
    <w:rsid w:val="00241770"/>
    <w:rsid w:val="002A7367"/>
    <w:rsid w:val="003144AD"/>
    <w:rsid w:val="004141AA"/>
    <w:rsid w:val="004212E6"/>
    <w:rsid w:val="00441DA4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A0EA5"/>
    <w:rsid w:val="008D477B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B3D03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6FB33E2729A41B73206DAB4BA09D3" ma:contentTypeVersion="10" ma:contentTypeDescription="Create a new document." ma:contentTypeScope="" ma:versionID="28ed6aa94543dbec0c852bc49853b24c">
  <xsd:schema xmlns:xsd="http://www.w3.org/2001/XMLSchema" xmlns:xs="http://www.w3.org/2001/XMLSchema" xmlns:p="http://schemas.microsoft.com/office/2006/metadata/properties" xmlns:ns3="25fa332e-da59-4567-b12a-fdd2e3bcc012" targetNamespace="http://schemas.microsoft.com/office/2006/metadata/properties" ma:root="true" ma:fieldsID="d86be2b2315439624d3146c79ad4a9d6" ns3:_="">
    <xsd:import namespace="25fa332e-da59-4567-b12a-fdd2e3bcc01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fa332e-da59-4567-b12a-fdd2e3bcc01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fa332e-da59-4567-b12a-fdd2e3bcc012" xsi:nil="true"/>
  </documentManagement>
</p:properties>
</file>

<file path=customXml/itemProps1.xml><?xml version="1.0" encoding="utf-8"?>
<ds:datastoreItem xmlns:ds="http://schemas.openxmlformats.org/officeDocument/2006/customXml" ds:itemID="{5CF64B41-9470-45E5-8C10-B89F9AE67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fa332e-da59-4567-b12a-fdd2e3bcc0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C54897-87BE-4702-8F50-6EBD509AB3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D9F99F-F664-4B44-8ACE-A802CC4C8615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25fa332e-da59-4567-b12a-fdd2e3bcc012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Jodie Burgin (Kenwood)</cp:lastModifiedBy>
  <cp:revision>2</cp:revision>
  <dcterms:created xsi:type="dcterms:W3CDTF">2025-12-07T12:33:00Z</dcterms:created>
  <dcterms:modified xsi:type="dcterms:W3CDTF">2025-12-07T12:33:00Z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0x01010042E6FB33E2729A41B73206DAB4BA09D3</vt:lpwstr>
  </property>
</Properties>
</file>