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201B0A4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D42511">
              <w:rPr>
                <w:rFonts w:ascii="Verdana" w:hAnsi="Verdana"/>
                <w:b/>
                <w:bCs/>
                <w:sz w:val="24"/>
                <w:szCs w:val="24"/>
              </w:rPr>
              <w:br/>
              <w:t>M01</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F473E0C" w:rsidR="00B245FA" w:rsidRPr="00B245FA" w:rsidRDefault="00D42511" w:rsidP="00B245FA">
            <w:pPr>
              <w:rPr>
                <w:rFonts w:ascii="Verdana" w:hAnsi="Verdana"/>
                <w:b/>
                <w:bCs/>
                <w:sz w:val="24"/>
                <w:szCs w:val="24"/>
              </w:rPr>
            </w:pPr>
            <w:r>
              <w:rPr>
                <w:rFonts w:ascii="Verdana" w:hAnsi="Verdana"/>
                <w:b/>
                <w:bCs/>
                <w:sz w:val="24"/>
                <w:szCs w:val="24"/>
              </w:rPr>
              <w:t>Natalie Wood</w:t>
            </w:r>
          </w:p>
        </w:tc>
      </w:tr>
      <w:tr w:rsidR="00B245FA" w:rsidRPr="00B245FA" w14:paraId="0B0B2711" w14:textId="77777777" w:rsidTr="00917AD4">
        <w:trPr>
          <w:trHeight w:val="500"/>
        </w:trPr>
        <w:tc>
          <w:tcPr>
            <w:tcW w:w="9067" w:type="dxa"/>
            <w:gridSpan w:val="4"/>
            <w:shd w:val="clear" w:color="auto" w:fill="auto"/>
          </w:tcPr>
          <w:p w14:paraId="151CC055" w14:textId="7C5DC50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A9359F">
              <w:rPr>
                <w:rFonts w:ascii="Verdana" w:hAnsi="Verdana"/>
                <w:b/>
                <w:bCs/>
                <w:sz w:val="24"/>
                <w:szCs w:val="24"/>
              </w:rPr>
              <w:t>Ready</w:t>
            </w:r>
          </w:p>
        </w:tc>
      </w:tr>
      <w:tr w:rsidR="00B245FA" w:rsidRPr="00B245FA" w14:paraId="351A68E2" w14:textId="77777777" w:rsidTr="00917AD4">
        <w:trPr>
          <w:trHeight w:val="500"/>
        </w:trPr>
        <w:tc>
          <w:tcPr>
            <w:tcW w:w="9067" w:type="dxa"/>
            <w:gridSpan w:val="4"/>
            <w:shd w:val="clear" w:color="auto" w:fill="auto"/>
          </w:tcPr>
          <w:p w14:paraId="7A1F8AE8" w14:textId="0C317621" w:rsidR="007D725B" w:rsidRPr="00A9359F" w:rsidRDefault="00B245FA" w:rsidP="00A9359F">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A9359F">
              <w:rPr>
                <w:rFonts w:ascii="Verdana" w:hAnsi="Verdana"/>
                <w:b/>
                <w:bCs/>
                <w:sz w:val="24"/>
                <w:szCs w:val="24"/>
              </w:rPr>
              <w:t xml:space="preserve">Consent and attraction; Managing risk around water, gangs and weapons. </w:t>
            </w:r>
            <w:r w:rsidR="00A9359F">
              <w:rPr>
                <w:rFonts w:ascii="Verdana" w:hAnsi="Verdana"/>
                <w:sz w:val="24"/>
                <w:szCs w:val="24"/>
              </w:rPr>
              <w:t>By the end of the topic students will be able to recognise the legal framework for consent, and give examples of how to seek and give consent. They will be aware that pressure, coercion and manipulation do not lead to enthusiastic consent. Students will develop skills in managing and dealing with peer pressure and resisting harmful influence. Students will improve their skills in staying safe in the community, including around bodies of water.</w:t>
            </w:r>
          </w:p>
          <w:p w14:paraId="45E674C4" w14:textId="0F84F108" w:rsidR="00A9359F" w:rsidRPr="002763B1" w:rsidRDefault="00A9359F" w:rsidP="00A9359F">
            <w:pPr>
              <w:rPr>
                <w:rFonts w:ascii="Verdana" w:hAnsi="Verdana"/>
                <w:sz w:val="24"/>
                <w:szCs w:val="24"/>
              </w:rPr>
            </w:pP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A9359F">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62DBE9F4" w14:textId="4B6834B5" w:rsidR="007D725B" w:rsidRPr="007D725B" w:rsidRDefault="00A9359F" w:rsidP="00A9359F">
            <w:pPr>
              <w:rPr>
                <w:rFonts w:cstheme="minorHAnsi"/>
                <w:sz w:val="24"/>
                <w:szCs w:val="24"/>
              </w:rPr>
            </w:pPr>
            <w:r w:rsidRPr="00A9359F">
              <w:rPr>
                <w:rFonts w:cstheme="minorHAnsi"/>
                <w:sz w:val="24"/>
                <w:szCs w:val="24"/>
              </w:rPr>
              <w:t>The qualities and behaviours they should expect, and exhibit, in a wide variety of positive relationships (in school and society, Family and friendships, including online)</w:t>
            </w:r>
          </w:p>
        </w:tc>
      </w:tr>
      <w:tr w:rsidR="007D725B" w:rsidRPr="007D725B" w14:paraId="09A862C7" w14:textId="77777777" w:rsidTr="00A9359F">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2FF7AB02" w14:textId="77777777" w:rsidR="00A9359F" w:rsidRPr="00A9359F" w:rsidRDefault="00A9359F" w:rsidP="00A9359F">
            <w:pPr>
              <w:rPr>
                <w:rFonts w:cstheme="minorHAnsi"/>
                <w:sz w:val="24"/>
                <w:szCs w:val="24"/>
              </w:rPr>
            </w:pPr>
            <w:r w:rsidRPr="00A9359F">
              <w:rPr>
                <w:rFonts w:cstheme="minorHAnsi"/>
                <w:sz w:val="24"/>
                <w:szCs w:val="24"/>
              </w:rPr>
              <w:t>To manage the strong feelings that relationships can cause (including sexual attraction)</w:t>
            </w:r>
          </w:p>
          <w:p w14:paraId="26AB0340" w14:textId="32B69E59" w:rsidR="007D725B" w:rsidRPr="007D725B" w:rsidRDefault="007D725B">
            <w:pPr>
              <w:rPr>
                <w:rFonts w:cstheme="minorHAnsi"/>
                <w:sz w:val="24"/>
                <w:szCs w:val="24"/>
              </w:rPr>
            </w:pPr>
          </w:p>
        </w:tc>
      </w:tr>
      <w:tr w:rsidR="007D725B" w:rsidRPr="007D725B" w14:paraId="4ECF6462" w14:textId="77777777" w:rsidTr="00A9359F">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1BE22C6F" w14:textId="6004D703" w:rsidR="007D725B" w:rsidRPr="007D725B" w:rsidRDefault="00A9359F">
            <w:pPr>
              <w:rPr>
                <w:rFonts w:cstheme="minorHAnsi"/>
                <w:sz w:val="24"/>
                <w:szCs w:val="24"/>
              </w:rPr>
            </w:pPr>
            <w:r w:rsidRPr="00A9359F">
              <w:rPr>
                <w:rFonts w:cstheme="minorHAnsi"/>
                <w:sz w:val="24"/>
                <w:szCs w:val="24"/>
              </w:rPr>
              <w:t>That consent is freely given, that being pressurised, manipulated or coerced into something is not giving consent, and how to seek help in such circumstances</w:t>
            </w:r>
          </w:p>
        </w:tc>
      </w:tr>
      <w:tr w:rsidR="007D725B" w:rsidRPr="007D725B" w14:paraId="2329B4B8" w14:textId="77777777" w:rsidTr="00A9359F">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054AD713" w14:textId="164C2D8D" w:rsidR="007D725B" w:rsidRPr="007D725B" w:rsidRDefault="00A9359F">
            <w:pPr>
              <w:rPr>
                <w:rFonts w:cstheme="minorHAnsi"/>
                <w:sz w:val="24"/>
                <w:szCs w:val="24"/>
              </w:rPr>
            </w:pPr>
            <w:r w:rsidRPr="00A9359F">
              <w:rPr>
                <w:rFonts w:cstheme="minorHAnsi"/>
                <w:sz w:val="24"/>
                <w:szCs w:val="24"/>
              </w:rPr>
              <w:t>About the law relating to sexual consent</w:t>
            </w:r>
          </w:p>
        </w:tc>
      </w:tr>
      <w:tr w:rsidR="007D725B" w:rsidRPr="007D725B" w14:paraId="25703593" w14:textId="77777777" w:rsidTr="00A9359F">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1206AEE5" w14:textId="43366BB2" w:rsidR="007D725B" w:rsidRPr="007D725B" w:rsidRDefault="00A9359F">
            <w:pPr>
              <w:rPr>
                <w:rFonts w:cstheme="minorHAnsi"/>
                <w:sz w:val="24"/>
                <w:szCs w:val="24"/>
              </w:rPr>
            </w:pPr>
            <w:r w:rsidRPr="00A9359F">
              <w:rPr>
                <w:rFonts w:cstheme="minorHAnsi"/>
                <w:sz w:val="24"/>
                <w:szCs w:val="24"/>
              </w:rPr>
              <w:t>How to seek, give, not give, and withdraw consent (in all contexts, including online)</w:t>
            </w:r>
          </w:p>
        </w:tc>
      </w:tr>
      <w:tr w:rsidR="007D725B" w:rsidRPr="007D725B" w14:paraId="6823BB91" w14:textId="77777777" w:rsidTr="00A9359F">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5CC40C96" w14:textId="70989A1B" w:rsidR="007D725B" w:rsidRPr="007D725B" w:rsidRDefault="00A9359F">
            <w:pPr>
              <w:rPr>
                <w:rFonts w:cstheme="minorHAnsi"/>
                <w:sz w:val="24"/>
                <w:szCs w:val="24"/>
              </w:rPr>
            </w:pPr>
            <w:r w:rsidRPr="00A9359F">
              <w:rPr>
                <w:rFonts w:cstheme="minorHAnsi"/>
                <w:sz w:val="24"/>
                <w:szCs w:val="24"/>
              </w:rPr>
              <w:t>That the seeker of consent is legally and morally responsible for ensuring that consent has been given, that if consent is not given, or withdrawn, that decision should always be respected)</w:t>
            </w:r>
          </w:p>
        </w:tc>
      </w:tr>
      <w:tr w:rsidR="007D725B" w:rsidRPr="007D725B" w14:paraId="48B5CC36" w14:textId="77777777" w:rsidTr="00A9359F">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3DDFAB27" w14:textId="315FD8B9" w:rsidR="007D725B" w:rsidRPr="007D725B" w:rsidRDefault="00A9359F">
            <w:pPr>
              <w:rPr>
                <w:rFonts w:cstheme="minorHAnsi"/>
                <w:sz w:val="24"/>
                <w:szCs w:val="24"/>
              </w:rPr>
            </w:pPr>
            <w:r w:rsidRPr="00A9359F">
              <w:rPr>
                <w:rFonts w:cstheme="minorHAnsi"/>
                <w:sz w:val="24"/>
                <w:szCs w:val="24"/>
              </w:rPr>
              <w:t>To recognise peer influence and to develop strategies for managing it, including online</w:t>
            </w:r>
          </w:p>
        </w:tc>
      </w:tr>
      <w:tr w:rsidR="007D725B" w:rsidRPr="007D725B" w14:paraId="10C7A872" w14:textId="77777777" w:rsidTr="00A9359F">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016813AE" w14:textId="493D0E4C" w:rsidR="007D725B" w:rsidRPr="007D725B" w:rsidRDefault="00A9359F">
            <w:pPr>
              <w:rPr>
                <w:rFonts w:cstheme="minorHAnsi"/>
                <w:sz w:val="24"/>
                <w:szCs w:val="24"/>
              </w:rPr>
            </w:pPr>
            <w:r w:rsidRPr="00A9359F">
              <w:rPr>
                <w:rFonts w:cstheme="minorHAnsi"/>
                <w:sz w:val="24"/>
                <w:szCs w:val="24"/>
              </w:rPr>
              <w:t>The role peers can play in supporting one another to resist pressure and influence, challenging harmful social norms and access appropriate support</w:t>
            </w:r>
          </w:p>
        </w:tc>
      </w:tr>
      <w:tr w:rsidR="007D725B" w:rsidRPr="007D725B" w14:paraId="4CE5F337" w14:textId="77777777" w:rsidTr="00A9359F">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5695D3AA" w14:textId="250D7FDE" w:rsidR="007D725B" w:rsidRPr="007D725B" w:rsidRDefault="00A9359F">
            <w:pPr>
              <w:rPr>
                <w:rFonts w:cstheme="minorHAnsi"/>
                <w:sz w:val="24"/>
                <w:szCs w:val="24"/>
              </w:rPr>
            </w:pPr>
            <w:r w:rsidRPr="00A9359F">
              <w:rPr>
                <w:rFonts w:cstheme="minorHAnsi"/>
                <w:sz w:val="24"/>
                <w:szCs w:val="24"/>
              </w:rPr>
              <w:t>That the need for peer approval can generate feelings of pressure and lead to increased risk taking; strategies to manage this</w:t>
            </w:r>
          </w:p>
        </w:tc>
      </w:tr>
      <w:tr w:rsidR="007D725B" w:rsidRPr="007D725B" w14:paraId="0779F5B6" w14:textId="77777777" w:rsidTr="00A9359F">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716344B4" w14:textId="77777777" w:rsidR="00A9359F" w:rsidRDefault="00A9359F" w:rsidP="00A9359F">
            <w:pPr>
              <w:rPr>
                <w:rFonts w:ascii="Calibri" w:hAnsi="Calibri" w:cs="Calibri"/>
                <w:color w:val="000000"/>
              </w:rPr>
            </w:pPr>
            <w:r>
              <w:rPr>
                <w:rFonts w:ascii="Calibri" w:hAnsi="Calibri" w:cs="Calibri"/>
                <w:color w:val="000000"/>
              </w:rPr>
              <w:t>Strategies to remain safe in the community, specifically around bodies of water</w:t>
            </w:r>
          </w:p>
          <w:p w14:paraId="2CB06E08" w14:textId="63B5270D" w:rsidR="007D725B" w:rsidRPr="007D725B" w:rsidRDefault="007D725B">
            <w:pPr>
              <w:rPr>
                <w:rFonts w:cstheme="minorHAnsi"/>
                <w:sz w:val="24"/>
                <w:szCs w:val="24"/>
              </w:rPr>
            </w:pPr>
          </w:p>
        </w:tc>
      </w:tr>
      <w:tr w:rsidR="007D725B" w:rsidRPr="007D725B" w14:paraId="1C4CBEDE" w14:textId="77777777" w:rsidTr="00A9359F">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63AEF756" w14:textId="77777777" w:rsidR="00A9359F" w:rsidRDefault="00A9359F" w:rsidP="00A9359F">
            <w:pPr>
              <w:rPr>
                <w:rFonts w:ascii="Calibri" w:hAnsi="Calibri" w:cs="Calibri"/>
                <w:color w:val="000000"/>
              </w:rPr>
            </w:pPr>
            <w:r>
              <w:rPr>
                <w:rFonts w:ascii="Calibri" w:hAnsi="Calibri" w:cs="Calibri"/>
                <w:color w:val="000000"/>
              </w:rPr>
              <w:t>About the factors that contribute to young people joining gangs; the social legal and physical consequences of gang behaviour</w:t>
            </w:r>
          </w:p>
          <w:p w14:paraId="6CD4018F" w14:textId="37A80A4C" w:rsidR="007D725B" w:rsidRPr="007D725B" w:rsidRDefault="007D725B">
            <w:pPr>
              <w:rPr>
                <w:rFonts w:cstheme="minorHAnsi"/>
                <w:sz w:val="24"/>
                <w:szCs w:val="24"/>
              </w:rPr>
            </w:pPr>
          </w:p>
        </w:tc>
      </w:tr>
      <w:tr w:rsidR="00A9359F" w:rsidRPr="007D725B" w14:paraId="798DEB63" w14:textId="77777777" w:rsidTr="00A9359F">
        <w:trPr>
          <w:trHeight w:val="696"/>
        </w:trPr>
        <w:tc>
          <w:tcPr>
            <w:tcW w:w="704" w:type="dxa"/>
          </w:tcPr>
          <w:p w14:paraId="72DF4732" w14:textId="2E669BAC" w:rsidR="00A9359F" w:rsidRDefault="00A9359F">
            <w:pPr>
              <w:rPr>
                <w:rFonts w:cstheme="minorHAnsi"/>
                <w:sz w:val="24"/>
                <w:szCs w:val="24"/>
              </w:rPr>
            </w:pPr>
            <w:r>
              <w:rPr>
                <w:rFonts w:cstheme="minorHAnsi"/>
                <w:sz w:val="24"/>
                <w:szCs w:val="24"/>
              </w:rPr>
              <w:t>12</w:t>
            </w:r>
          </w:p>
        </w:tc>
        <w:tc>
          <w:tcPr>
            <w:tcW w:w="8312" w:type="dxa"/>
          </w:tcPr>
          <w:p w14:paraId="1F8A52B5" w14:textId="5DDA2596" w:rsidR="00A9359F" w:rsidRDefault="00147361" w:rsidP="00A9359F">
            <w:pPr>
              <w:rPr>
                <w:rFonts w:ascii="Calibri" w:hAnsi="Calibri" w:cs="Calibri"/>
                <w:color w:val="000000"/>
              </w:rPr>
            </w:pPr>
            <w:r>
              <w:rPr>
                <w:rFonts w:ascii="Calibri" w:hAnsi="Calibri" w:cs="Calibri"/>
                <w:color w:val="000000"/>
              </w:rPr>
              <w:t>Strategies to manage pressure to join a gang, exit strategies and how to access appropriate support</w:t>
            </w:r>
          </w:p>
          <w:p w14:paraId="7ABB2BD8" w14:textId="1893B6EF" w:rsidR="00A9359F" w:rsidRPr="00A9359F" w:rsidRDefault="00A9359F" w:rsidP="00A9359F">
            <w:pPr>
              <w:tabs>
                <w:tab w:val="left" w:pos="2370"/>
              </w:tabs>
              <w:rPr>
                <w:rFonts w:ascii="Calibri" w:hAnsi="Calibri" w:cs="Calibri"/>
              </w:rPr>
            </w:pPr>
            <w:r>
              <w:rPr>
                <w:rFonts w:ascii="Calibri" w:hAnsi="Calibri" w:cs="Calibri"/>
              </w:rPr>
              <w:tab/>
            </w:r>
          </w:p>
        </w:tc>
      </w:tr>
      <w:tr w:rsidR="00A9359F" w:rsidRPr="007D725B" w14:paraId="74E58848" w14:textId="77777777" w:rsidTr="00A9359F">
        <w:trPr>
          <w:trHeight w:val="696"/>
        </w:trPr>
        <w:tc>
          <w:tcPr>
            <w:tcW w:w="704" w:type="dxa"/>
          </w:tcPr>
          <w:p w14:paraId="2F1220DB" w14:textId="0C2AB7CF" w:rsidR="00A9359F" w:rsidRDefault="00147361">
            <w:pPr>
              <w:rPr>
                <w:rFonts w:cstheme="minorHAnsi"/>
                <w:sz w:val="24"/>
                <w:szCs w:val="24"/>
              </w:rPr>
            </w:pPr>
            <w:r>
              <w:rPr>
                <w:rFonts w:cstheme="minorHAnsi"/>
                <w:sz w:val="24"/>
                <w:szCs w:val="24"/>
              </w:rPr>
              <w:lastRenderedPageBreak/>
              <w:t>13</w:t>
            </w:r>
          </w:p>
        </w:tc>
        <w:tc>
          <w:tcPr>
            <w:tcW w:w="8312" w:type="dxa"/>
          </w:tcPr>
          <w:p w14:paraId="0C1B2432" w14:textId="77777777" w:rsidR="00147361" w:rsidRDefault="00147361" w:rsidP="00147361">
            <w:pPr>
              <w:rPr>
                <w:rFonts w:ascii="Calibri" w:hAnsi="Calibri" w:cs="Calibri"/>
                <w:color w:val="000000"/>
              </w:rPr>
            </w:pPr>
            <w:r>
              <w:rPr>
                <w:rFonts w:ascii="Calibri" w:hAnsi="Calibri" w:cs="Calibri"/>
                <w:color w:val="000000"/>
              </w:rPr>
              <w:t>Motivations, misconceptions and consequences of carrying weapons, and strategies for managing pressure to carry a weapon.</w:t>
            </w:r>
          </w:p>
          <w:p w14:paraId="6583306C" w14:textId="77777777" w:rsidR="00A9359F" w:rsidRDefault="00A9359F" w:rsidP="00A9359F">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8"/>
        <w:gridCol w:w="1497"/>
        <w:gridCol w:w="1497"/>
        <w:gridCol w:w="1528"/>
        <w:gridCol w:w="1498"/>
        <w:gridCol w:w="1498"/>
      </w:tblGrid>
      <w:tr w:rsidR="00F370AB" w:rsidRPr="00687AF6" w14:paraId="56E7C716" w14:textId="77777777" w:rsidTr="00920585">
        <w:tc>
          <w:tcPr>
            <w:tcW w:w="1502" w:type="dxa"/>
          </w:tcPr>
          <w:p w14:paraId="3ED141E8" w14:textId="79ABCA13" w:rsidR="00920585" w:rsidRPr="00687AF6" w:rsidRDefault="00147361">
            <w:pPr>
              <w:rPr>
                <w:rFonts w:cstheme="minorHAnsi"/>
                <w:sz w:val="24"/>
                <w:szCs w:val="24"/>
              </w:rPr>
            </w:pPr>
            <w:r>
              <w:rPr>
                <w:rFonts w:cstheme="minorHAnsi"/>
                <w:sz w:val="24"/>
                <w:szCs w:val="24"/>
              </w:rPr>
              <w:t>Attraction</w:t>
            </w:r>
          </w:p>
        </w:tc>
        <w:tc>
          <w:tcPr>
            <w:tcW w:w="1502" w:type="dxa"/>
          </w:tcPr>
          <w:p w14:paraId="7CDA4861" w14:textId="60C9BD36" w:rsidR="00920585" w:rsidRPr="00687AF6" w:rsidRDefault="00147361">
            <w:pPr>
              <w:rPr>
                <w:rFonts w:cstheme="minorHAnsi"/>
                <w:sz w:val="24"/>
                <w:szCs w:val="24"/>
              </w:rPr>
            </w:pPr>
            <w:r>
              <w:rPr>
                <w:rFonts w:cstheme="minorHAnsi"/>
                <w:sz w:val="24"/>
                <w:szCs w:val="24"/>
              </w:rPr>
              <w:t>Consent</w:t>
            </w:r>
          </w:p>
        </w:tc>
        <w:tc>
          <w:tcPr>
            <w:tcW w:w="1503" w:type="dxa"/>
          </w:tcPr>
          <w:p w14:paraId="5D17AF0B" w14:textId="3B8F4FC7" w:rsidR="00920585" w:rsidRPr="00687AF6" w:rsidRDefault="00147361" w:rsidP="00925607">
            <w:pPr>
              <w:ind w:left="720" w:hanging="720"/>
              <w:rPr>
                <w:rFonts w:cstheme="minorHAnsi"/>
                <w:sz w:val="24"/>
                <w:szCs w:val="24"/>
              </w:rPr>
            </w:pPr>
            <w:r>
              <w:rPr>
                <w:rFonts w:cstheme="minorHAnsi"/>
                <w:sz w:val="24"/>
                <w:szCs w:val="24"/>
              </w:rPr>
              <w:t>Pressure</w:t>
            </w:r>
          </w:p>
        </w:tc>
        <w:tc>
          <w:tcPr>
            <w:tcW w:w="1503" w:type="dxa"/>
          </w:tcPr>
          <w:p w14:paraId="70A311EF" w14:textId="0AB1706C" w:rsidR="00920585" w:rsidRPr="00687AF6" w:rsidRDefault="00147361">
            <w:pPr>
              <w:rPr>
                <w:rFonts w:cstheme="minorHAnsi"/>
                <w:sz w:val="24"/>
                <w:szCs w:val="24"/>
              </w:rPr>
            </w:pPr>
            <w:r>
              <w:rPr>
                <w:rFonts w:cstheme="minorHAnsi"/>
                <w:sz w:val="24"/>
                <w:szCs w:val="24"/>
              </w:rPr>
              <w:t>Manipulation</w:t>
            </w:r>
          </w:p>
        </w:tc>
        <w:tc>
          <w:tcPr>
            <w:tcW w:w="1503" w:type="dxa"/>
          </w:tcPr>
          <w:p w14:paraId="3AF3EEF7" w14:textId="0D95AB1E" w:rsidR="00920585" w:rsidRPr="00687AF6" w:rsidRDefault="00147361">
            <w:pPr>
              <w:rPr>
                <w:rFonts w:cstheme="minorHAnsi"/>
                <w:sz w:val="24"/>
                <w:szCs w:val="24"/>
              </w:rPr>
            </w:pPr>
            <w:r>
              <w:rPr>
                <w:rFonts w:cstheme="minorHAnsi"/>
                <w:sz w:val="24"/>
                <w:szCs w:val="24"/>
              </w:rPr>
              <w:t>Coercion</w:t>
            </w:r>
          </w:p>
        </w:tc>
        <w:tc>
          <w:tcPr>
            <w:tcW w:w="1503" w:type="dxa"/>
          </w:tcPr>
          <w:p w14:paraId="3B235E5C" w14:textId="421EB001" w:rsidR="00147361" w:rsidRPr="00687AF6" w:rsidRDefault="00147361">
            <w:pPr>
              <w:rPr>
                <w:rFonts w:cstheme="minorHAnsi"/>
                <w:sz w:val="24"/>
                <w:szCs w:val="24"/>
              </w:rPr>
            </w:pPr>
            <w:r>
              <w:rPr>
                <w:rFonts w:cstheme="minorHAnsi"/>
                <w:sz w:val="24"/>
                <w:szCs w:val="24"/>
              </w:rPr>
              <w:t>Informed consent</w:t>
            </w:r>
          </w:p>
        </w:tc>
      </w:tr>
      <w:tr w:rsidR="00F370AB" w:rsidRPr="00687AF6" w14:paraId="5DC8C621" w14:textId="77777777" w:rsidTr="00920585">
        <w:tc>
          <w:tcPr>
            <w:tcW w:w="1502" w:type="dxa"/>
          </w:tcPr>
          <w:p w14:paraId="14CD84C4" w14:textId="1E3FC342" w:rsidR="00920585" w:rsidRPr="00687AF6" w:rsidRDefault="00147361">
            <w:pPr>
              <w:rPr>
                <w:rFonts w:cstheme="minorHAnsi"/>
                <w:sz w:val="24"/>
                <w:szCs w:val="24"/>
              </w:rPr>
            </w:pPr>
            <w:r>
              <w:rPr>
                <w:rFonts w:cstheme="minorHAnsi"/>
                <w:sz w:val="24"/>
                <w:szCs w:val="24"/>
              </w:rPr>
              <w:t xml:space="preserve">Morally </w:t>
            </w:r>
          </w:p>
        </w:tc>
        <w:tc>
          <w:tcPr>
            <w:tcW w:w="1502" w:type="dxa"/>
          </w:tcPr>
          <w:p w14:paraId="2B6B0AA7" w14:textId="6B1A3E0E" w:rsidR="00920585" w:rsidRPr="00687AF6" w:rsidRDefault="00147361">
            <w:pPr>
              <w:rPr>
                <w:rFonts w:cstheme="minorHAnsi"/>
                <w:sz w:val="24"/>
                <w:szCs w:val="24"/>
              </w:rPr>
            </w:pPr>
            <w:r>
              <w:rPr>
                <w:rFonts w:cstheme="minorHAnsi"/>
                <w:sz w:val="24"/>
                <w:szCs w:val="24"/>
              </w:rPr>
              <w:t>Legal</w:t>
            </w:r>
          </w:p>
        </w:tc>
        <w:tc>
          <w:tcPr>
            <w:tcW w:w="1503" w:type="dxa"/>
          </w:tcPr>
          <w:p w14:paraId="44846C07" w14:textId="7A0D0C72" w:rsidR="00920585" w:rsidRPr="00687AF6" w:rsidRDefault="00147361">
            <w:pPr>
              <w:rPr>
                <w:rFonts w:cstheme="minorHAnsi"/>
                <w:sz w:val="24"/>
                <w:szCs w:val="24"/>
              </w:rPr>
            </w:pPr>
            <w:r>
              <w:rPr>
                <w:rFonts w:cstheme="minorHAnsi"/>
                <w:sz w:val="24"/>
                <w:szCs w:val="24"/>
              </w:rPr>
              <w:t>Respect</w:t>
            </w:r>
          </w:p>
        </w:tc>
        <w:tc>
          <w:tcPr>
            <w:tcW w:w="1503" w:type="dxa"/>
          </w:tcPr>
          <w:p w14:paraId="27312DB3" w14:textId="1E3CA0F1" w:rsidR="00920585" w:rsidRPr="00687AF6" w:rsidRDefault="00147361">
            <w:pPr>
              <w:rPr>
                <w:rFonts w:cstheme="minorHAnsi"/>
                <w:sz w:val="24"/>
                <w:szCs w:val="24"/>
              </w:rPr>
            </w:pPr>
            <w:r>
              <w:rPr>
                <w:rFonts w:cstheme="minorHAnsi"/>
                <w:sz w:val="24"/>
                <w:szCs w:val="24"/>
              </w:rPr>
              <w:t>Peer influence</w:t>
            </w:r>
          </w:p>
        </w:tc>
        <w:tc>
          <w:tcPr>
            <w:tcW w:w="1503" w:type="dxa"/>
          </w:tcPr>
          <w:p w14:paraId="24B2E7BF" w14:textId="7345242B" w:rsidR="00920585" w:rsidRPr="00687AF6" w:rsidRDefault="00147361">
            <w:pPr>
              <w:rPr>
                <w:rFonts w:cstheme="minorHAnsi"/>
                <w:sz w:val="24"/>
                <w:szCs w:val="24"/>
              </w:rPr>
            </w:pPr>
            <w:r>
              <w:rPr>
                <w:rFonts w:cstheme="minorHAnsi"/>
                <w:sz w:val="24"/>
                <w:szCs w:val="24"/>
              </w:rPr>
              <w:t>Approval</w:t>
            </w:r>
          </w:p>
        </w:tc>
        <w:tc>
          <w:tcPr>
            <w:tcW w:w="1503" w:type="dxa"/>
          </w:tcPr>
          <w:p w14:paraId="7E715B4E" w14:textId="3944807B" w:rsidR="00920585" w:rsidRPr="00687AF6" w:rsidRDefault="00147361">
            <w:pPr>
              <w:rPr>
                <w:rFonts w:cstheme="minorHAnsi"/>
                <w:sz w:val="24"/>
                <w:szCs w:val="24"/>
              </w:rPr>
            </w:pPr>
            <w:r>
              <w:rPr>
                <w:rFonts w:cstheme="minorHAnsi"/>
                <w:sz w:val="24"/>
                <w:szCs w:val="24"/>
              </w:rPr>
              <w:t>Risk taking</w:t>
            </w:r>
          </w:p>
        </w:tc>
      </w:tr>
      <w:tr w:rsidR="00F370AB" w:rsidRPr="00687AF6" w14:paraId="333D59DA" w14:textId="77777777" w:rsidTr="00920585">
        <w:tc>
          <w:tcPr>
            <w:tcW w:w="1502" w:type="dxa"/>
          </w:tcPr>
          <w:p w14:paraId="7A65D77F" w14:textId="2ECCEFA8" w:rsidR="00920585" w:rsidRPr="00687AF6" w:rsidRDefault="00147361">
            <w:pPr>
              <w:rPr>
                <w:rFonts w:cstheme="minorHAnsi"/>
                <w:sz w:val="24"/>
                <w:szCs w:val="24"/>
              </w:rPr>
            </w:pPr>
            <w:r>
              <w:rPr>
                <w:rFonts w:cstheme="minorHAnsi"/>
                <w:sz w:val="24"/>
                <w:szCs w:val="24"/>
              </w:rPr>
              <w:t>Strategies</w:t>
            </w:r>
          </w:p>
        </w:tc>
        <w:tc>
          <w:tcPr>
            <w:tcW w:w="1502" w:type="dxa"/>
          </w:tcPr>
          <w:p w14:paraId="3009187A" w14:textId="58BC76D1" w:rsidR="00920585" w:rsidRPr="00687AF6" w:rsidRDefault="00147361">
            <w:pPr>
              <w:rPr>
                <w:rFonts w:cstheme="minorHAnsi"/>
                <w:sz w:val="24"/>
                <w:szCs w:val="24"/>
              </w:rPr>
            </w:pPr>
            <w:r>
              <w:rPr>
                <w:rFonts w:cstheme="minorHAnsi"/>
                <w:sz w:val="24"/>
                <w:szCs w:val="24"/>
              </w:rPr>
              <w:t>Weapons</w:t>
            </w:r>
          </w:p>
        </w:tc>
        <w:tc>
          <w:tcPr>
            <w:tcW w:w="1503" w:type="dxa"/>
          </w:tcPr>
          <w:p w14:paraId="67FCC52D" w14:textId="356950A7" w:rsidR="00920585" w:rsidRPr="00687AF6" w:rsidRDefault="00147361">
            <w:pPr>
              <w:rPr>
                <w:rFonts w:cstheme="minorHAnsi"/>
                <w:sz w:val="24"/>
                <w:szCs w:val="24"/>
              </w:rPr>
            </w:pPr>
            <w:r>
              <w:rPr>
                <w:rFonts w:cstheme="minorHAnsi"/>
                <w:sz w:val="24"/>
                <w:szCs w:val="24"/>
              </w:rPr>
              <w:t>Support</w:t>
            </w:r>
          </w:p>
        </w:tc>
        <w:tc>
          <w:tcPr>
            <w:tcW w:w="1503" w:type="dxa"/>
          </w:tcPr>
          <w:p w14:paraId="67254CC7" w14:textId="66E83455" w:rsidR="00920585" w:rsidRPr="00687AF6" w:rsidRDefault="00920585">
            <w:pPr>
              <w:rPr>
                <w:rFonts w:cstheme="minorHAnsi"/>
                <w:sz w:val="24"/>
                <w:szCs w:val="24"/>
              </w:rPr>
            </w:pPr>
          </w:p>
        </w:tc>
        <w:tc>
          <w:tcPr>
            <w:tcW w:w="1503" w:type="dxa"/>
          </w:tcPr>
          <w:p w14:paraId="1CFF4AAF" w14:textId="3F1D6CEA" w:rsidR="00920585" w:rsidRPr="00687AF6" w:rsidRDefault="00920585">
            <w:pPr>
              <w:rPr>
                <w:rFonts w:cstheme="minorHAnsi"/>
                <w:sz w:val="24"/>
                <w:szCs w:val="24"/>
              </w:rPr>
            </w:pPr>
          </w:p>
        </w:tc>
        <w:tc>
          <w:tcPr>
            <w:tcW w:w="1503" w:type="dxa"/>
          </w:tcPr>
          <w:p w14:paraId="08E0CDA1" w14:textId="71E025F7" w:rsidR="00920585" w:rsidRPr="00687AF6" w:rsidRDefault="00920585">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66B85AFD" w14:textId="77777777" w:rsidR="00D50384" w:rsidRDefault="0033320D" w:rsidP="00147361">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147361" w:rsidRPr="00147361">
              <w:rPr>
                <w:rFonts w:eastAsia="Times New Roman" w:cstheme="minorHAnsi"/>
                <w:i/>
                <w:iCs/>
                <w:noProof/>
                <w:sz w:val="24"/>
                <w:szCs w:val="24"/>
                <w:lang w:eastAsia="en-GB"/>
              </w:rPr>
              <w:drawing>
                <wp:anchor distT="0" distB="0" distL="114300" distR="114300" simplePos="0" relativeHeight="251658240" behindDoc="1" locked="0" layoutInCell="1" allowOverlap="1" wp14:anchorId="212D5C0E" wp14:editId="1EC92064">
                  <wp:simplePos x="0" y="0"/>
                  <wp:positionH relativeFrom="column">
                    <wp:posOffset>33020</wp:posOffset>
                  </wp:positionH>
                  <wp:positionV relativeFrom="paragraph">
                    <wp:posOffset>152400</wp:posOffset>
                  </wp:positionV>
                  <wp:extent cx="1638300" cy="2584450"/>
                  <wp:effectExtent l="0" t="0" r="0" b="6350"/>
                  <wp:wrapTight wrapText="bothSides">
                    <wp:wrapPolygon edited="0">
                      <wp:start x="0" y="0"/>
                      <wp:lineTo x="0" y="21494"/>
                      <wp:lineTo x="21349" y="21494"/>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38300" cy="2584450"/>
                          </a:xfrm>
                          <a:prstGeom prst="rect">
                            <a:avLst/>
                          </a:prstGeom>
                        </pic:spPr>
                      </pic:pic>
                    </a:graphicData>
                  </a:graphic>
                </wp:anchor>
              </w:drawing>
            </w:r>
            <w:r w:rsidR="00147361" w:rsidRPr="00147361">
              <w:rPr>
                <w:rFonts w:eastAsia="Times New Roman" w:cstheme="minorHAnsi"/>
                <w:i/>
                <w:iCs/>
                <w:sz w:val="24"/>
                <w:szCs w:val="24"/>
                <w:lang w:eastAsia="en-GB"/>
              </w:rPr>
              <w:t xml:space="preserve"> Kensuke's Kingdom</w:t>
            </w:r>
            <w:r w:rsidR="00D50384">
              <w:rPr>
                <w:rFonts w:eastAsia="Times New Roman" w:cstheme="minorHAnsi"/>
                <w:i/>
                <w:iCs/>
                <w:sz w:val="24"/>
                <w:szCs w:val="24"/>
                <w:lang w:eastAsia="en-GB"/>
              </w:rPr>
              <w:t xml:space="preserve"> by Michael Morpurgo</w:t>
            </w:r>
          </w:p>
          <w:p w14:paraId="03DC5E20" w14:textId="49877DEB" w:rsidR="00147361" w:rsidRPr="00147361" w:rsidRDefault="00147361" w:rsidP="00147361">
            <w:pPr>
              <w:shd w:val="clear" w:color="auto" w:fill="FFFFFF"/>
              <w:spacing w:before="240" w:after="120"/>
              <w:outlineLvl w:val="3"/>
              <w:rPr>
                <w:rFonts w:eastAsia="Times New Roman" w:cstheme="minorHAnsi"/>
                <w:i/>
                <w:iCs/>
                <w:sz w:val="24"/>
                <w:szCs w:val="24"/>
                <w:lang w:eastAsia="en-GB"/>
              </w:rPr>
            </w:pPr>
            <w:r w:rsidRPr="00147361">
              <w:rPr>
                <w:rFonts w:eastAsia="Times New Roman" w:cstheme="minorHAnsi"/>
                <w:i/>
                <w:iCs/>
                <w:sz w:val="24"/>
                <w:szCs w:val="24"/>
                <w:lang w:eastAsia="en-GB"/>
              </w:rPr>
              <w:t xml:space="preserve"> tells the story of an eleven-year Michael, whose family decides to sail around the world after his parents are made redundant from the local brickworks. The family set off with their dog, Stella Artois.</w:t>
            </w:r>
            <w:r>
              <w:t xml:space="preserve"> </w:t>
            </w:r>
            <w:r w:rsidRPr="00147361">
              <w:rPr>
                <w:rFonts w:eastAsia="Times New Roman" w:cstheme="minorHAnsi"/>
                <w:i/>
                <w:iCs/>
                <w:sz w:val="24"/>
                <w:szCs w:val="24"/>
                <w:lang w:eastAsia="en-GB"/>
              </w:rPr>
              <w:t>On one deceptively calm night, the family dog Stella Artois appears on deck, and given that she had previously fallen overboard in the Indian Ocean, Michael tries to retrieve her. A sudden wind takes hold of the yacht, and both Michael and Stella are washed overboard.</w:t>
            </w:r>
          </w:p>
          <w:p w14:paraId="0FCCE8DD" w14:textId="3813AE05" w:rsidR="00925607" w:rsidRPr="00687AF6" w:rsidRDefault="00147361" w:rsidP="00147361">
            <w:pPr>
              <w:shd w:val="clear" w:color="auto" w:fill="FFFFFF"/>
              <w:spacing w:before="240" w:after="120"/>
              <w:outlineLvl w:val="3"/>
              <w:rPr>
                <w:rFonts w:eastAsia="Times New Roman" w:cstheme="minorHAnsi"/>
                <w:i/>
                <w:iCs/>
                <w:sz w:val="24"/>
                <w:szCs w:val="24"/>
                <w:lang w:eastAsia="en-GB"/>
              </w:rPr>
            </w:pPr>
            <w:r w:rsidRPr="00147361">
              <w:rPr>
                <w:rFonts w:eastAsia="Times New Roman" w:cstheme="minorHAnsi"/>
                <w:i/>
                <w:iCs/>
                <w:sz w:val="24"/>
                <w:szCs w:val="24"/>
                <w:lang w:eastAsia="en-GB"/>
              </w:rPr>
              <w:t>Alone and clinging to a football for buoyancy, Michael is convinced he will drown. Yet the next morning he finds himself on the shore of a peanut-shaped island with Stella, both alive and well. Questions as to how he came to be on the island are soon replaced by how they are to survive, and despite a thorough search of their new home, Michael and Stella are unable to find any food or fresh water. They are saved once again however, when they find that someone (or something) has left them water and food near the cave where they are sheltering.</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767DC"/>
    <w:rsid w:val="001B080A"/>
    <w:rsid w:val="001E7DB3"/>
    <w:rsid w:val="002402A8"/>
    <w:rsid w:val="002763B1"/>
    <w:rsid w:val="0033320D"/>
    <w:rsid w:val="0037266D"/>
    <w:rsid w:val="00387FE0"/>
    <w:rsid w:val="003D70EC"/>
    <w:rsid w:val="00455F38"/>
    <w:rsid w:val="005370B9"/>
    <w:rsid w:val="00573360"/>
    <w:rsid w:val="005C2ADA"/>
    <w:rsid w:val="00687AF6"/>
    <w:rsid w:val="00695526"/>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4070C"/>
    <w:rsid w:val="009732CD"/>
    <w:rsid w:val="009D0BFB"/>
    <w:rsid w:val="009E6F6F"/>
    <w:rsid w:val="00A426D9"/>
    <w:rsid w:val="00A9359F"/>
    <w:rsid w:val="00AD03F7"/>
    <w:rsid w:val="00AF4C1A"/>
    <w:rsid w:val="00B10A0F"/>
    <w:rsid w:val="00B245FA"/>
    <w:rsid w:val="00B4349B"/>
    <w:rsid w:val="00C43E4B"/>
    <w:rsid w:val="00C7031D"/>
    <w:rsid w:val="00C96B26"/>
    <w:rsid w:val="00D11A0E"/>
    <w:rsid w:val="00D42511"/>
    <w:rsid w:val="00D50384"/>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Natalie Wood (Kenwood)</cp:lastModifiedBy>
  <cp:revision>2</cp:revision>
  <dcterms:created xsi:type="dcterms:W3CDTF">2026-04-13T11:39:00Z</dcterms:created>
  <dcterms:modified xsi:type="dcterms:W3CDTF">2026-04-13T11:39:00Z</dcterms:modified>
</cp:coreProperties>
</file>