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9A50CA1"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2B19B3">
              <w:rPr>
                <w:rFonts w:ascii="Verdana" w:hAnsi="Verdana"/>
                <w:b/>
                <w:bCs/>
                <w:sz w:val="24"/>
                <w:szCs w:val="24"/>
              </w:rPr>
              <w:t>EW0</w:t>
            </w:r>
            <w:r w:rsidR="00AB573B">
              <w:rPr>
                <w:rFonts w:ascii="Verdana" w:hAnsi="Verdana"/>
                <w:b/>
                <w:bCs/>
                <w:sz w:val="24"/>
                <w:szCs w:val="24"/>
              </w:rPr>
              <w:t>8</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1FFA020D" w:rsidR="00B245FA" w:rsidRPr="00B245FA" w:rsidRDefault="002B19B3" w:rsidP="00B245FA">
            <w:pPr>
              <w:rPr>
                <w:rFonts w:ascii="Verdana" w:hAnsi="Verdana"/>
                <w:b/>
                <w:bCs/>
                <w:sz w:val="24"/>
                <w:szCs w:val="24"/>
              </w:rPr>
            </w:pPr>
            <w:r>
              <w:rPr>
                <w:rFonts w:ascii="Verdana" w:hAnsi="Verdana"/>
                <w:b/>
                <w:bCs/>
                <w:sz w:val="24"/>
                <w:szCs w:val="24"/>
              </w:rPr>
              <w:t>Mike Gouldin &amp; R</w:t>
            </w:r>
            <w:r w:rsidR="00AB573B">
              <w:rPr>
                <w:rFonts w:ascii="Verdana" w:hAnsi="Verdana"/>
                <w:b/>
                <w:bCs/>
                <w:sz w:val="24"/>
                <w:szCs w:val="24"/>
              </w:rPr>
              <w:t>oss Graham</w:t>
            </w:r>
          </w:p>
        </w:tc>
      </w:tr>
      <w:tr w:rsidR="00B245FA" w:rsidRPr="00B245FA" w14:paraId="0B0B2711" w14:textId="77777777" w:rsidTr="001E615B">
        <w:trPr>
          <w:trHeight w:val="483"/>
        </w:trPr>
        <w:tc>
          <w:tcPr>
            <w:tcW w:w="10485" w:type="dxa"/>
            <w:gridSpan w:val="4"/>
          </w:tcPr>
          <w:p w14:paraId="151CC055" w14:textId="475A03E2"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685D5D" w:rsidRPr="001E615B">
              <w:rPr>
                <w:rFonts w:ascii="Verdana" w:hAnsi="Verdana"/>
                <w:b/>
                <w:bCs/>
                <w:sz w:val="24"/>
                <w:szCs w:val="24"/>
              </w:rPr>
              <w:t xml:space="preserve"> Secondary </w:t>
            </w:r>
            <w:r w:rsidR="00685D5D">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45E674C4" w14:textId="5734D19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B7A7F">
              <w:rPr>
                <w:rFonts w:cstheme="minorHAnsi"/>
                <w:sz w:val="24"/>
                <w:szCs w:val="24"/>
              </w:rPr>
              <w:t>We will recap and look deeper into</w:t>
            </w:r>
            <w:r w:rsidR="009D2819">
              <w:rPr>
                <w:rFonts w:cstheme="minorHAnsi"/>
                <w:sz w:val="24"/>
                <w:szCs w:val="24"/>
              </w:rPr>
              <w:t>; direct and inverse</w:t>
            </w:r>
            <w:r w:rsidR="00DB7A7F">
              <w:rPr>
                <w:rFonts w:cstheme="minorHAnsi"/>
                <w:sz w:val="24"/>
                <w:szCs w:val="24"/>
              </w:rPr>
              <w:t xml:space="preserve"> proportion, analysing and comparing data using averages and spread, additions, subtraction, multiplication and division of fractions and mixed numbers and operations on numbers in standard form.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85D5D">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685D5D">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85D5D" w:rsidRPr="00D76A23" w14:paraId="23095E5E" w14:textId="4951FCFA" w:rsidTr="00685D5D">
        <w:trPr>
          <w:trHeight w:val="885"/>
          <w:jc w:val="center"/>
        </w:trPr>
        <w:tc>
          <w:tcPr>
            <w:tcW w:w="220" w:type="pct"/>
            <w:shd w:val="clear" w:color="000000" w:fill="FFFFFF"/>
            <w:vAlign w:val="center"/>
          </w:tcPr>
          <w:p w14:paraId="3A4C31A9" w14:textId="522EA7FF"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69706AFD"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18C55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direct proportion in a range of contexts</w:t>
            </w:r>
          </w:p>
        </w:tc>
        <w:tc>
          <w:tcPr>
            <w:tcW w:w="755" w:type="pct"/>
          </w:tcPr>
          <w:p w14:paraId="6EB5C03B"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20E7B2C4" w14:textId="34357C51" w:rsidTr="00685D5D">
        <w:trPr>
          <w:trHeight w:val="885"/>
          <w:jc w:val="center"/>
        </w:trPr>
        <w:tc>
          <w:tcPr>
            <w:tcW w:w="220" w:type="pct"/>
            <w:shd w:val="clear" w:color="000000" w:fill="FFFFFF"/>
            <w:vAlign w:val="center"/>
          </w:tcPr>
          <w:p w14:paraId="39760F18" w14:textId="742216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012DE87C" w14:textId="6502F20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nil"/>
              <w:bottom w:val="single" w:sz="4" w:space="0" w:color="auto"/>
              <w:right w:val="single" w:sz="4" w:space="0" w:color="auto"/>
            </w:tcBorders>
            <w:shd w:val="clear" w:color="auto" w:fill="auto"/>
            <w:vAlign w:val="center"/>
          </w:tcPr>
          <w:p w14:paraId="593C8B93" w14:textId="3D0C9FB6"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inverse proportion in a range of contexts</w:t>
            </w:r>
          </w:p>
        </w:tc>
        <w:tc>
          <w:tcPr>
            <w:tcW w:w="755" w:type="pct"/>
          </w:tcPr>
          <w:p w14:paraId="0AAEA2C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6362422B" w14:textId="084FAD9C" w:rsidTr="00685D5D">
        <w:trPr>
          <w:trHeight w:val="885"/>
          <w:jc w:val="center"/>
        </w:trPr>
        <w:tc>
          <w:tcPr>
            <w:tcW w:w="220" w:type="pct"/>
            <w:shd w:val="clear" w:color="000000" w:fill="FFFFFF"/>
            <w:vAlign w:val="center"/>
          </w:tcPr>
          <w:p w14:paraId="73C1DD0C" w14:textId="7231E6F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F4A1004" w14:textId="2857CB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075550A2" w14:textId="4B240B4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mean from a frequency table</w:t>
            </w:r>
          </w:p>
        </w:tc>
        <w:tc>
          <w:tcPr>
            <w:tcW w:w="755" w:type="pct"/>
          </w:tcPr>
          <w:p w14:paraId="5E0DA5E3"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82DD407" w14:textId="3297C639" w:rsidTr="00685D5D">
        <w:trPr>
          <w:trHeight w:val="885"/>
          <w:jc w:val="center"/>
        </w:trPr>
        <w:tc>
          <w:tcPr>
            <w:tcW w:w="220" w:type="pct"/>
            <w:shd w:val="clear" w:color="000000" w:fill="FFFFFF"/>
            <w:vAlign w:val="center"/>
          </w:tcPr>
          <w:p w14:paraId="4B91520C" w14:textId="733C22C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21057BD1" w14:textId="40D1BE9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6A6BB227" w14:textId="4988B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median from a frequency table</w:t>
            </w:r>
          </w:p>
        </w:tc>
        <w:tc>
          <w:tcPr>
            <w:tcW w:w="755" w:type="pct"/>
          </w:tcPr>
          <w:p w14:paraId="75F11CA3"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81B7F2A" w14:textId="599C9EF1" w:rsidTr="00685D5D">
        <w:trPr>
          <w:trHeight w:val="885"/>
          <w:jc w:val="center"/>
        </w:trPr>
        <w:tc>
          <w:tcPr>
            <w:tcW w:w="220" w:type="pct"/>
            <w:shd w:val="clear" w:color="000000" w:fill="FFFFFF"/>
            <w:vAlign w:val="center"/>
          </w:tcPr>
          <w:p w14:paraId="312BD388" w14:textId="1E5302D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795ECAB7" w14:textId="1C3D01DB"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493C52B" w14:textId="6B7CED3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appropriate charts and graphs to represent data</w:t>
            </w:r>
          </w:p>
        </w:tc>
        <w:tc>
          <w:tcPr>
            <w:tcW w:w="755" w:type="pct"/>
          </w:tcPr>
          <w:p w14:paraId="01FEBC5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45D30844" w14:textId="465AF19A" w:rsidTr="00685D5D">
        <w:trPr>
          <w:trHeight w:val="809"/>
          <w:jc w:val="center"/>
        </w:trPr>
        <w:tc>
          <w:tcPr>
            <w:tcW w:w="220" w:type="pct"/>
            <w:shd w:val="clear" w:color="000000" w:fill="FFFFFF"/>
            <w:noWrap/>
            <w:vAlign w:val="center"/>
          </w:tcPr>
          <w:p w14:paraId="11EA336B" w14:textId="2E21CAE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0C35C72" w14:textId="32A491A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1BE73AE" w14:textId="6E754CB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different measures of average and spread to compare sets of data</w:t>
            </w:r>
          </w:p>
        </w:tc>
        <w:tc>
          <w:tcPr>
            <w:tcW w:w="755" w:type="pct"/>
          </w:tcPr>
          <w:p w14:paraId="05659086"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C2CEDAC" w14:textId="43776727" w:rsidTr="00685D5D">
        <w:trPr>
          <w:trHeight w:val="779"/>
          <w:jc w:val="center"/>
        </w:trPr>
        <w:tc>
          <w:tcPr>
            <w:tcW w:w="220" w:type="pct"/>
            <w:shd w:val="clear" w:color="000000" w:fill="FFFFFF"/>
            <w:vAlign w:val="center"/>
          </w:tcPr>
          <w:p w14:paraId="4BF0EDF9" w14:textId="452C073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74E6380E" w14:textId="250D3BD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F015FAE" w14:textId="07BE3B1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add and subtract fractions and mixed numbers</w:t>
            </w:r>
          </w:p>
        </w:tc>
        <w:tc>
          <w:tcPr>
            <w:tcW w:w="755" w:type="pct"/>
          </w:tcPr>
          <w:p w14:paraId="7B468D5F"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728EE60D" w14:textId="071B5C43" w:rsidTr="00685D5D">
        <w:trPr>
          <w:trHeight w:val="863"/>
          <w:jc w:val="center"/>
        </w:trPr>
        <w:tc>
          <w:tcPr>
            <w:tcW w:w="220" w:type="pct"/>
            <w:shd w:val="clear" w:color="000000" w:fill="FFFFFF"/>
            <w:vAlign w:val="center"/>
          </w:tcPr>
          <w:p w14:paraId="7918CF5B" w14:textId="1446AA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27ECD458"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439AED4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multiply and divide fractions and mixed numbers</w:t>
            </w:r>
          </w:p>
        </w:tc>
        <w:tc>
          <w:tcPr>
            <w:tcW w:w="755" w:type="pct"/>
          </w:tcPr>
          <w:p w14:paraId="1D210E1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21309D9" w14:textId="0EF5C9CA" w:rsidTr="00685D5D">
        <w:trPr>
          <w:trHeight w:val="981"/>
          <w:jc w:val="center"/>
        </w:trPr>
        <w:tc>
          <w:tcPr>
            <w:tcW w:w="220" w:type="pct"/>
            <w:shd w:val="clear" w:color="000000" w:fill="FFFFFF"/>
            <w:vAlign w:val="center"/>
          </w:tcPr>
          <w:p w14:paraId="02A6A266" w14:textId="6F00C71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4DB0DE66" w14:textId="298E0800"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550C381" w14:textId="48D5B2D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write numbers in standard form</w:t>
            </w:r>
          </w:p>
        </w:tc>
        <w:tc>
          <w:tcPr>
            <w:tcW w:w="755" w:type="pct"/>
          </w:tcPr>
          <w:p w14:paraId="14166C59"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3B3875F" w14:textId="77777777" w:rsidTr="00685D5D">
        <w:trPr>
          <w:trHeight w:val="825"/>
          <w:jc w:val="center"/>
        </w:trPr>
        <w:tc>
          <w:tcPr>
            <w:tcW w:w="220" w:type="pct"/>
            <w:shd w:val="clear" w:color="000000" w:fill="FFFFFF"/>
            <w:vAlign w:val="center"/>
          </w:tcPr>
          <w:p w14:paraId="6D75FD40" w14:textId="55878359" w:rsidR="00685D5D"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2817A88" w14:textId="493B40A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C469E08" w14:textId="388CCE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perform the 4 operations with number in standard form</w:t>
            </w:r>
          </w:p>
        </w:tc>
        <w:tc>
          <w:tcPr>
            <w:tcW w:w="755" w:type="pct"/>
          </w:tcPr>
          <w:p w14:paraId="5C295E97"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85D5D" w:rsidRPr="00D76A23" w:rsidRDefault="00685D5D" w:rsidP="00685D5D">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545E7590" w:rsidR="00825AD5" w:rsidRPr="001B0CDB" w:rsidRDefault="009D2819" w:rsidP="00825AD5">
            <w:pPr>
              <w:rPr>
                <w:rFonts w:ascii="Verdana" w:hAnsi="Verdana"/>
                <w:sz w:val="24"/>
                <w:szCs w:val="24"/>
              </w:rPr>
            </w:pPr>
            <w:r>
              <w:rPr>
                <w:rFonts w:ascii="Verdana" w:hAnsi="Verdana"/>
                <w:sz w:val="24"/>
                <w:szCs w:val="24"/>
              </w:rPr>
              <w:t>Proportion</w:t>
            </w:r>
          </w:p>
        </w:tc>
        <w:tc>
          <w:tcPr>
            <w:tcW w:w="2036" w:type="dxa"/>
          </w:tcPr>
          <w:p w14:paraId="55C298C8" w14:textId="760A857B" w:rsidR="00825AD5" w:rsidRPr="001B0CDB" w:rsidRDefault="009D2819" w:rsidP="00825AD5">
            <w:pPr>
              <w:rPr>
                <w:rFonts w:ascii="Verdana" w:hAnsi="Verdana"/>
                <w:sz w:val="24"/>
                <w:szCs w:val="24"/>
              </w:rPr>
            </w:pPr>
            <w:r>
              <w:rPr>
                <w:rFonts w:ascii="Verdana" w:hAnsi="Verdana"/>
                <w:sz w:val="24"/>
                <w:szCs w:val="24"/>
              </w:rPr>
              <w:t>Frequency</w:t>
            </w:r>
          </w:p>
        </w:tc>
        <w:tc>
          <w:tcPr>
            <w:tcW w:w="2094" w:type="dxa"/>
          </w:tcPr>
          <w:p w14:paraId="256C2014" w14:textId="2115A282" w:rsidR="00825AD5" w:rsidRPr="001B0CDB" w:rsidRDefault="009D2819" w:rsidP="00825AD5">
            <w:pPr>
              <w:rPr>
                <w:rFonts w:ascii="Verdana" w:hAnsi="Verdana"/>
                <w:sz w:val="24"/>
                <w:szCs w:val="24"/>
              </w:rPr>
            </w:pPr>
            <w:r>
              <w:rPr>
                <w:rFonts w:ascii="Verdana" w:hAnsi="Verdana"/>
                <w:sz w:val="24"/>
                <w:szCs w:val="24"/>
              </w:rPr>
              <w:t>Mean</w:t>
            </w:r>
          </w:p>
        </w:tc>
        <w:tc>
          <w:tcPr>
            <w:tcW w:w="2178" w:type="dxa"/>
          </w:tcPr>
          <w:p w14:paraId="40175690" w14:textId="01240525" w:rsidR="00825AD5" w:rsidRPr="001B0CDB" w:rsidRDefault="009D2819" w:rsidP="00825AD5">
            <w:pPr>
              <w:rPr>
                <w:rFonts w:ascii="Verdana" w:hAnsi="Verdana"/>
                <w:sz w:val="24"/>
                <w:szCs w:val="24"/>
              </w:rPr>
            </w:pPr>
            <w:r>
              <w:rPr>
                <w:rFonts w:ascii="Verdana" w:hAnsi="Verdana"/>
                <w:sz w:val="24"/>
                <w:szCs w:val="24"/>
              </w:rPr>
              <w:t>Median</w:t>
            </w:r>
          </w:p>
        </w:tc>
        <w:tc>
          <w:tcPr>
            <w:tcW w:w="1810" w:type="dxa"/>
          </w:tcPr>
          <w:p w14:paraId="5A60AE19" w14:textId="6A5FCD93" w:rsidR="00825AD5" w:rsidRPr="001B0CDB" w:rsidRDefault="009D2819" w:rsidP="00825AD5">
            <w:pPr>
              <w:rPr>
                <w:rFonts w:ascii="Verdana" w:hAnsi="Verdana"/>
                <w:sz w:val="24"/>
                <w:szCs w:val="24"/>
              </w:rPr>
            </w:pPr>
            <w:r>
              <w:rPr>
                <w:rFonts w:ascii="Verdana" w:hAnsi="Verdana"/>
                <w:sz w:val="24"/>
                <w:szCs w:val="24"/>
              </w:rPr>
              <w:t>Quartile</w:t>
            </w:r>
          </w:p>
        </w:tc>
      </w:tr>
      <w:tr w:rsidR="00825AD5" w:rsidRPr="001B0CDB" w14:paraId="0B15E59C" w14:textId="77777777" w:rsidTr="00825AD5">
        <w:trPr>
          <w:trHeight w:val="466"/>
        </w:trPr>
        <w:tc>
          <w:tcPr>
            <w:tcW w:w="2396" w:type="dxa"/>
          </w:tcPr>
          <w:p w14:paraId="121443A8" w14:textId="57B66DE2" w:rsidR="00825AD5" w:rsidRPr="001B0CDB" w:rsidRDefault="009D2819" w:rsidP="00825AD5">
            <w:pPr>
              <w:rPr>
                <w:rFonts w:ascii="Verdana" w:hAnsi="Verdana"/>
                <w:sz w:val="24"/>
                <w:szCs w:val="24"/>
              </w:rPr>
            </w:pPr>
            <w:r>
              <w:rPr>
                <w:rFonts w:ascii="Verdana" w:hAnsi="Verdana"/>
                <w:sz w:val="24"/>
                <w:szCs w:val="24"/>
              </w:rPr>
              <w:t>Box Plot</w:t>
            </w:r>
          </w:p>
        </w:tc>
        <w:tc>
          <w:tcPr>
            <w:tcW w:w="2036" w:type="dxa"/>
          </w:tcPr>
          <w:p w14:paraId="2E7435A3" w14:textId="6CED0BA6" w:rsidR="00825AD5" w:rsidRPr="001B0CDB" w:rsidRDefault="009D2819" w:rsidP="00825AD5">
            <w:pPr>
              <w:rPr>
                <w:rFonts w:ascii="Verdana" w:hAnsi="Verdana"/>
                <w:sz w:val="24"/>
                <w:szCs w:val="24"/>
              </w:rPr>
            </w:pPr>
            <w:r>
              <w:rPr>
                <w:rFonts w:ascii="Verdana" w:hAnsi="Verdana"/>
                <w:sz w:val="24"/>
                <w:szCs w:val="24"/>
              </w:rPr>
              <w:t>Cumulative</w:t>
            </w:r>
          </w:p>
        </w:tc>
        <w:tc>
          <w:tcPr>
            <w:tcW w:w="2094" w:type="dxa"/>
          </w:tcPr>
          <w:p w14:paraId="3B3A6B22" w14:textId="35143AC9" w:rsidR="00825AD5" w:rsidRPr="001B0CDB" w:rsidRDefault="009D2819" w:rsidP="00825AD5">
            <w:pPr>
              <w:rPr>
                <w:rFonts w:ascii="Verdana" w:hAnsi="Verdana"/>
                <w:sz w:val="24"/>
                <w:szCs w:val="24"/>
              </w:rPr>
            </w:pPr>
            <w:r>
              <w:rPr>
                <w:rFonts w:ascii="Verdana" w:hAnsi="Verdana"/>
                <w:sz w:val="24"/>
                <w:szCs w:val="24"/>
              </w:rPr>
              <w:t>Standard Form</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A979EA">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A979EA">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A979EA">
            <w:pPr>
              <w:spacing w:after="0" w:line="240" w:lineRule="auto"/>
              <w:rPr>
                <w:rFonts w:eastAsia="Times New Roman" w:cstheme="minorHAnsi"/>
                <w:sz w:val="24"/>
                <w:szCs w:val="24"/>
                <w:lang w:eastAsia="en-GB"/>
              </w:rPr>
            </w:pPr>
          </w:p>
          <w:p w14:paraId="072D8052" w14:textId="77977671" w:rsidR="001B0CDB" w:rsidRPr="0074569D" w:rsidRDefault="001B0CDB" w:rsidP="00A979EA">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F4D50E7" w14:textId="5425B889" w:rsidR="009D2819" w:rsidRDefault="009D2819" w:rsidP="009D2819">
            <w:pPr>
              <w:pStyle w:val="NormalWeb"/>
              <w:shd w:val="clear" w:color="auto" w:fill="FCFCFC"/>
              <w:spacing w:before="288" w:beforeAutospacing="0" w:after="0" w:afterAutospacing="0"/>
              <w:jc w:val="center"/>
              <w:rPr>
                <w:rFonts w:ascii="Verdana" w:hAnsi="Verdana"/>
                <w:color w:val="000000"/>
                <w:sz w:val="32"/>
                <w:szCs w:val="32"/>
              </w:rPr>
            </w:pPr>
            <w:r w:rsidRPr="009D2819">
              <w:rPr>
                <w:rFonts w:ascii="Verdana" w:hAnsi="Verdana"/>
                <w:color w:val="000000"/>
                <w:sz w:val="32"/>
                <w:szCs w:val="32"/>
              </w:rPr>
              <w:t>Thinking Mathematically – Mason, Burton and Stacey</w:t>
            </w:r>
          </w:p>
          <w:p w14:paraId="1D5964C2" w14:textId="77777777" w:rsidR="009D2819" w:rsidRDefault="009D2819" w:rsidP="009D2819">
            <w:pPr>
              <w:rPr>
                <w:rFonts w:ascii="PT Sans" w:hAnsi="PT Sans"/>
                <w:color w:val="404040"/>
                <w:sz w:val="24"/>
                <w:szCs w:val="24"/>
                <w:shd w:val="clear" w:color="auto" w:fill="FCFCFC"/>
              </w:rPr>
            </w:pPr>
          </w:p>
          <w:p w14:paraId="307B4955" w14:textId="46253B1B" w:rsidR="009D2819" w:rsidRPr="00532256" w:rsidRDefault="009D2819" w:rsidP="009D2819">
            <w:r w:rsidRPr="009D2819">
              <w:rPr>
                <w:rFonts w:ascii="PT Sans" w:hAnsi="PT Sans"/>
                <w:color w:val="404040"/>
                <w:sz w:val="24"/>
                <w:szCs w:val="24"/>
                <w:shd w:val="clear" w:color="auto" w:fill="FCFCFC"/>
              </w:rPr>
              <w:t>Thinking Mathematically is perfect for anyone who wants to develop their powers to think mathematically, whether at school, at university or just out of interest. This book is invaluable for anyone who wishes to promote mathematical thinking in others or for anyone who has always wondered what lies at the core of mathematics. Thinking Mathematically reveals the processes at the heart of mathematics and demonstrates how to encourage and develop them. Extremely practical, it involves the reader in questions so that subsequent discussions speak to immediate experience.</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AB573B"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AB573B"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AB573B"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AB573B"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AB573B"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AB573B"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AB573B"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AB573B"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AB573B"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AB573B"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A979EA">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2B19B3"/>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85D5D"/>
    <w:rsid w:val="006E3556"/>
    <w:rsid w:val="0074569D"/>
    <w:rsid w:val="00773CFD"/>
    <w:rsid w:val="00783A14"/>
    <w:rsid w:val="007E5C02"/>
    <w:rsid w:val="0082039C"/>
    <w:rsid w:val="00825AD5"/>
    <w:rsid w:val="00831BCF"/>
    <w:rsid w:val="008D477B"/>
    <w:rsid w:val="008F6C26"/>
    <w:rsid w:val="00920585"/>
    <w:rsid w:val="009352F5"/>
    <w:rsid w:val="009C031C"/>
    <w:rsid w:val="009D0BFB"/>
    <w:rsid w:val="009D2819"/>
    <w:rsid w:val="00A359BE"/>
    <w:rsid w:val="00A64F1E"/>
    <w:rsid w:val="00A979EA"/>
    <w:rsid w:val="00AB21F6"/>
    <w:rsid w:val="00AB573B"/>
    <w:rsid w:val="00AD03F7"/>
    <w:rsid w:val="00AF4C1A"/>
    <w:rsid w:val="00B00A2E"/>
    <w:rsid w:val="00B245FA"/>
    <w:rsid w:val="00B71289"/>
    <w:rsid w:val="00C20CB3"/>
    <w:rsid w:val="00C3725F"/>
    <w:rsid w:val="00C4516B"/>
    <w:rsid w:val="00C572D0"/>
    <w:rsid w:val="00C736CD"/>
    <w:rsid w:val="00C9000C"/>
    <w:rsid w:val="00C96B26"/>
    <w:rsid w:val="00CD4D82"/>
    <w:rsid w:val="00CD7EAA"/>
    <w:rsid w:val="00D008D5"/>
    <w:rsid w:val="00D76A23"/>
    <w:rsid w:val="00D80643"/>
    <w:rsid w:val="00D944D3"/>
    <w:rsid w:val="00DB7A7F"/>
    <w:rsid w:val="00DF0323"/>
    <w:rsid w:val="00E07FDF"/>
    <w:rsid w:val="00E2643B"/>
    <w:rsid w:val="00E46EA5"/>
    <w:rsid w:val="00E619DD"/>
    <w:rsid w:val="00E96A65"/>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5A65CE86-288B-43D6-85E9-3725B2284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2</cp:revision>
  <dcterms:created xsi:type="dcterms:W3CDTF">2026-03-27T10:10:00Z</dcterms:created>
  <dcterms:modified xsi:type="dcterms:W3CDTF">2026-03-27T10:10:00Z</dcterms:modified>
</cp:coreProperties>
</file>