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8BCE19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B3251F">
              <w:rPr>
                <w:rFonts w:ascii="Verdana" w:hAnsi="Verdana"/>
                <w:b/>
                <w:bCs/>
                <w:sz w:val="24"/>
                <w:szCs w:val="24"/>
              </w:rPr>
              <w:t>EW01</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C7C0B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0DBB">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129BC9F3" w:rsidR="00B245FA" w:rsidRPr="00B245FA" w:rsidRDefault="00B3251F" w:rsidP="00B245FA">
            <w:pPr>
              <w:rPr>
                <w:rFonts w:ascii="Verdana" w:hAnsi="Verdana"/>
                <w:b/>
                <w:bCs/>
                <w:sz w:val="24"/>
                <w:szCs w:val="24"/>
              </w:rPr>
            </w:pPr>
            <w:r>
              <w:rPr>
                <w:rFonts w:ascii="Verdana" w:hAnsi="Verdana"/>
                <w:b/>
                <w:bCs/>
                <w:sz w:val="24"/>
                <w:szCs w:val="24"/>
              </w:rPr>
              <w:t>Mike Gouldin &amp; James Elliott</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70CF3F5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0DBB">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45DFE">
              <w:rPr>
                <w:rFonts w:cstheme="minorHAnsi"/>
                <w:sz w:val="24"/>
                <w:szCs w:val="24"/>
              </w:rPr>
              <w:t xml:space="preserve">This term will first cover the data handling cycle in statistics; representing and analysing data. We will then look at non calculator methods for calculations with directed numbers, decimals and fractions. </w:t>
            </w:r>
            <w:r w:rsidR="00574803">
              <w:rPr>
                <w:rFonts w:cstheme="minorHAnsi"/>
                <w:sz w:val="24"/>
                <w:szCs w:val="24"/>
              </w:rPr>
              <w:t>We will move on to looking at sequences, standard form and manipulating expressions.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50DBB">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22E72" w:rsidRPr="00D76A23" w14:paraId="140FA38D" w14:textId="6C22EDB1" w:rsidTr="00650DBB">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5761226B" w:rsidR="00831BCF" w:rsidRPr="00831BCF" w:rsidRDefault="00831BCF" w:rsidP="00BE6F99">
            <w:pPr>
              <w:spacing w:after="0" w:line="240" w:lineRule="auto"/>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B3251F" w:rsidRPr="00D76A23" w14:paraId="06DA081E" w14:textId="77777777" w:rsidTr="00650DBB">
        <w:trPr>
          <w:trHeight w:val="885"/>
          <w:jc w:val="center"/>
        </w:trPr>
        <w:tc>
          <w:tcPr>
            <w:tcW w:w="221" w:type="pct"/>
            <w:tcBorders>
              <w:right w:val="single" w:sz="4" w:space="0" w:color="auto"/>
            </w:tcBorders>
            <w:shd w:val="clear" w:color="000000" w:fill="FFFFFF"/>
            <w:vAlign w:val="center"/>
          </w:tcPr>
          <w:p w14:paraId="33B284D6" w14:textId="1BA50C6E" w:rsidR="00B3251F"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629EC8CD" w14:textId="57CFC2BD" w:rsidR="00B3251F" w:rsidRDefault="00B3251F" w:rsidP="00B3251F">
            <w:pPr>
              <w:spacing w:after="0" w:line="240" w:lineRule="auto"/>
              <w:jc w:val="center"/>
              <w:rPr>
                <w:rFonts w:ascii="Calibri" w:hAnsi="Calibri" w:cs="Calibri"/>
                <w:color w:val="000000"/>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auto" w:fill="auto"/>
            <w:vAlign w:val="center"/>
          </w:tcPr>
          <w:p w14:paraId="008A501F" w14:textId="677667A4" w:rsidR="00B3251F" w:rsidRDefault="00B3251F" w:rsidP="00B3251F">
            <w:pPr>
              <w:spacing w:after="0" w:line="240" w:lineRule="auto"/>
              <w:rPr>
                <w:rFonts w:ascii="Calibri" w:hAnsi="Calibri" w:cs="Calibri"/>
                <w:color w:val="000000"/>
              </w:rPr>
            </w:pPr>
            <w:r>
              <w:rPr>
                <w:rFonts w:ascii="Calibri" w:hAnsi="Calibri" w:cs="Calibri"/>
                <w:color w:val="000000"/>
              </w:rPr>
              <w:t>I can find the probability of a single event</w:t>
            </w:r>
          </w:p>
        </w:tc>
        <w:tc>
          <w:tcPr>
            <w:tcW w:w="755" w:type="pct"/>
            <w:tcBorders>
              <w:left w:val="single" w:sz="4" w:space="0" w:color="auto"/>
            </w:tcBorders>
          </w:tcPr>
          <w:p w14:paraId="55305B19"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B23C3DF"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661E15A1"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B30B69A"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7D36C9BD" w14:textId="77777777" w:rsidTr="00650DBB">
        <w:trPr>
          <w:trHeight w:val="885"/>
          <w:jc w:val="center"/>
        </w:trPr>
        <w:tc>
          <w:tcPr>
            <w:tcW w:w="221" w:type="pct"/>
            <w:tcBorders>
              <w:right w:val="single" w:sz="4" w:space="0" w:color="auto"/>
            </w:tcBorders>
            <w:shd w:val="clear" w:color="000000" w:fill="FFFFFF"/>
            <w:vAlign w:val="center"/>
          </w:tcPr>
          <w:p w14:paraId="75761607" w14:textId="25DA89DD" w:rsidR="00B3251F"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4E37EE0C" w14:textId="586EA5C0" w:rsidR="00B3251F" w:rsidRDefault="00B3251F" w:rsidP="00B3251F">
            <w:pPr>
              <w:spacing w:after="0" w:line="240" w:lineRule="auto"/>
              <w:jc w:val="center"/>
              <w:rPr>
                <w:rFonts w:ascii="Calibri" w:hAnsi="Calibri" w:cs="Calibri"/>
                <w:color w:val="000000"/>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auto" w:fill="auto"/>
            <w:vAlign w:val="center"/>
          </w:tcPr>
          <w:p w14:paraId="52B42497" w14:textId="4727F19C" w:rsidR="00B3251F" w:rsidRDefault="00855409" w:rsidP="00B3251F">
            <w:pPr>
              <w:spacing w:after="0" w:line="240" w:lineRule="auto"/>
              <w:rPr>
                <w:rFonts w:ascii="Calibri" w:hAnsi="Calibri" w:cs="Calibri"/>
                <w:color w:val="000000"/>
              </w:rPr>
            </w:pPr>
            <w:r>
              <w:rPr>
                <w:rFonts w:ascii="Calibri" w:hAnsi="Calibri" w:cs="Calibri"/>
                <w:color w:val="000000"/>
              </w:rPr>
              <w:t>I can calculate the probability of multiple events.</w:t>
            </w:r>
          </w:p>
        </w:tc>
        <w:tc>
          <w:tcPr>
            <w:tcW w:w="755" w:type="pct"/>
            <w:tcBorders>
              <w:left w:val="single" w:sz="4" w:space="0" w:color="auto"/>
            </w:tcBorders>
          </w:tcPr>
          <w:p w14:paraId="63EC93B6"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05EBABAD"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D25B74E"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AF612A9"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23095E5E" w14:textId="4951FCFA" w:rsidTr="00650DBB">
        <w:trPr>
          <w:trHeight w:val="885"/>
          <w:jc w:val="center"/>
        </w:trPr>
        <w:tc>
          <w:tcPr>
            <w:tcW w:w="221" w:type="pct"/>
            <w:tcBorders>
              <w:right w:val="single" w:sz="4" w:space="0" w:color="auto"/>
            </w:tcBorders>
            <w:shd w:val="clear" w:color="000000" w:fill="FFFFFF"/>
            <w:vAlign w:val="center"/>
          </w:tcPr>
          <w:p w14:paraId="3A4C31A9" w14:textId="4BE7BC13"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1819FA16" w14:textId="70F1E96D" w:rsidR="00B3251F" w:rsidRPr="00825AD5" w:rsidRDefault="00B3251F" w:rsidP="00B3251F">
            <w:pPr>
              <w:spacing w:after="0" w:line="240" w:lineRule="auto"/>
              <w:jc w:val="center"/>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0B94FE7A"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draw and interpret graphs and diagrams</w:t>
            </w:r>
          </w:p>
        </w:tc>
        <w:tc>
          <w:tcPr>
            <w:tcW w:w="755" w:type="pct"/>
            <w:tcBorders>
              <w:left w:val="single" w:sz="4" w:space="0" w:color="auto"/>
            </w:tcBorders>
          </w:tcPr>
          <w:p w14:paraId="6EB5C03B"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20E7B2C4" w14:textId="34357C51" w:rsidTr="00650DBB">
        <w:trPr>
          <w:trHeight w:val="885"/>
          <w:jc w:val="center"/>
        </w:trPr>
        <w:tc>
          <w:tcPr>
            <w:tcW w:w="221" w:type="pct"/>
            <w:tcBorders>
              <w:right w:val="single" w:sz="4" w:space="0" w:color="auto"/>
            </w:tcBorders>
            <w:shd w:val="clear" w:color="000000" w:fill="FFFFFF"/>
            <w:vAlign w:val="center"/>
          </w:tcPr>
          <w:p w14:paraId="39760F18" w14:textId="1427081C"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012DE87C" w14:textId="6DF335CE"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593C8B93" w14:textId="2664157A"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interpret averages</w:t>
            </w:r>
          </w:p>
        </w:tc>
        <w:tc>
          <w:tcPr>
            <w:tcW w:w="755" w:type="pct"/>
            <w:tcBorders>
              <w:left w:val="single" w:sz="4" w:space="0" w:color="auto"/>
            </w:tcBorders>
          </w:tcPr>
          <w:p w14:paraId="0AAEA2C2"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6362422B" w14:textId="084FAD9C" w:rsidTr="00650DBB">
        <w:trPr>
          <w:trHeight w:val="885"/>
          <w:jc w:val="center"/>
        </w:trPr>
        <w:tc>
          <w:tcPr>
            <w:tcW w:w="221" w:type="pct"/>
            <w:tcBorders>
              <w:right w:val="single" w:sz="4" w:space="0" w:color="auto"/>
            </w:tcBorders>
            <w:shd w:val="clear" w:color="000000" w:fill="FFFFFF"/>
            <w:vAlign w:val="center"/>
          </w:tcPr>
          <w:p w14:paraId="73C1DD0C" w14:textId="386EE088"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6F4A1004" w14:textId="6898A3B0"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075550A2" w14:textId="1BE5B2B3"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efficiently use all 4 operations without a calculator</w:t>
            </w:r>
          </w:p>
        </w:tc>
        <w:tc>
          <w:tcPr>
            <w:tcW w:w="755" w:type="pct"/>
            <w:tcBorders>
              <w:left w:val="single" w:sz="4" w:space="0" w:color="auto"/>
            </w:tcBorders>
          </w:tcPr>
          <w:p w14:paraId="5E0DA5E3"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182DD407" w14:textId="3297C639" w:rsidTr="00650DBB">
        <w:trPr>
          <w:trHeight w:val="885"/>
          <w:jc w:val="center"/>
        </w:trPr>
        <w:tc>
          <w:tcPr>
            <w:tcW w:w="221" w:type="pct"/>
            <w:tcBorders>
              <w:right w:val="single" w:sz="4" w:space="0" w:color="auto"/>
            </w:tcBorders>
            <w:shd w:val="clear" w:color="000000" w:fill="FFFFFF"/>
            <w:vAlign w:val="center"/>
          </w:tcPr>
          <w:p w14:paraId="4B91520C" w14:textId="10A88A64"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21057BD1" w14:textId="3AEC52FD"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6A6BB227" w14:textId="17387E3E"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round to a given level of accuracy</w:t>
            </w:r>
          </w:p>
        </w:tc>
        <w:tc>
          <w:tcPr>
            <w:tcW w:w="755" w:type="pct"/>
            <w:tcBorders>
              <w:left w:val="single" w:sz="4" w:space="0" w:color="auto"/>
            </w:tcBorders>
          </w:tcPr>
          <w:p w14:paraId="75F11CA3"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381B7F2A" w14:textId="599C9EF1" w:rsidTr="00650DBB">
        <w:trPr>
          <w:trHeight w:val="885"/>
          <w:jc w:val="center"/>
        </w:trPr>
        <w:tc>
          <w:tcPr>
            <w:tcW w:w="221" w:type="pct"/>
            <w:tcBorders>
              <w:right w:val="single" w:sz="4" w:space="0" w:color="auto"/>
            </w:tcBorders>
            <w:shd w:val="clear" w:color="000000" w:fill="FFFFFF"/>
            <w:vAlign w:val="center"/>
          </w:tcPr>
          <w:p w14:paraId="312BD388" w14:textId="2CD1CEA9"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795ECAB7" w14:textId="6D4FCB31"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4493C52B" w14:textId="2932F942"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HCF and LCM of a given pair of numbers</w:t>
            </w:r>
          </w:p>
        </w:tc>
        <w:tc>
          <w:tcPr>
            <w:tcW w:w="755" w:type="pct"/>
            <w:tcBorders>
              <w:left w:val="single" w:sz="4" w:space="0" w:color="auto"/>
            </w:tcBorders>
          </w:tcPr>
          <w:p w14:paraId="01FEBC50"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45D30844" w14:textId="465AF19A" w:rsidTr="00650DBB">
        <w:trPr>
          <w:trHeight w:val="809"/>
          <w:jc w:val="center"/>
        </w:trPr>
        <w:tc>
          <w:tcPr>
            <w:tcW w:w="221" w:type="pct"/>
            <w:tcBorders>
              <w:right w:val="single" w:sz="4" w:space="0" w:color="auto"/>
            </w:tcBorders>
            <w:shd w:val="clear" w:color="000000" w:fill="FFFFFF"/>
            <w:noWrap/>
            <w:vAlign w:val="center"/>
          </w:tcPr>
          <w:p w14:paraId="11EA336B" w14:textId="07F1E2F1"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60C35C72" w14:textId="23912688"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41BE73AE" w14:textId="127FE2CF"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use the nth term rule of a linear sequence</w:t>
            </w:r>
          </w:p>
        </w:tc>
        <w:tc>
          <w:tcPr>
            <w:tcW w:w="755" w:type="pct"/>
            <w:tcBorders>
              <w:left w:val="single" w:sz="4" w:space="0" w:color="auto"/>
            </w:tcBorders>
          </w:tcPr>
          <w:p w14:paraId="05659086"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1C2CEDAC" w14:textId="43776727" w:rsidTr="00650DBB">
        <w:trPr>
          <w:trHeight w:val="779"/>
          <w:jc w:val="center"/>
        </w:trPr>
        <w:tc>
          <w:tcPr>
            <w:tcW w:w="221" w:type="pct"/>
            <w:tcBorders>
              <w:right w:val="single" w:sz="4" w:space="0" w:color="auto"/>
            </w:tcBorders>
            <w:shd w:val="clear" w:color="000000" w:fill="FFFFFF"/>
            <w:vAlign w:val="center"/>
          </w:tcPr>
          <w:p w14:paraId="4BF0EDF9" w14:textId="659BFE35"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74E6380E" w14:textId="4F2CE9E7"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3F015FAE" w14:textId="0916206F"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apply the rules of indices</w:t>
            </w:r>
          </w:p>
        </w:tc>
        <w:tc>
          <w:tcPr>
            <w:tcW w:w="755" w:type="pct"/>
            <w:tcBorders>
              <w:left w:val="single" w:sz="4" w:space="0" w:color="auto"/>
            </w:tcBorders>
          </w:tcPr>
          <w:p w14:paraId="7B468D5F"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B3251F" w:rsidRPr="00D76A23" w:rsidRDefault="00B3251F" w:rsidP="00B3251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728EE60D" w14:textId="071B5C43" w:rsidTr="00650DBB">
        <w:trPr>
          <w:trHeight w:val="863"/>
          <w:jc w:val="center"/>
        </w:trPr>
        <w:tc>
          <w:tcPr>
            <w:tcW w:w="221" w:type="pct"/>
            <w:tcBorders>
              <w:right w:val="single" w:sz="4" w:space="0" w:color="auto"/>
            </w:tcBorders>
            <w:shd w:val="clear" w:color="000000" w:fill="FFFFFF"/>
            <w:vAlign w:val="center"/>
          </w:tcPr>
          <w:p w14:paraId="7918CF5B" w14:textId="2C741C1C"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47D7D3B7" w14:textId="30E6E9D0"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DE1DE7C" w14:textId="25A49FD7"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with numbers in standard form</w:t>
            </w:r>
          </w:p>
        </w:tc>
        <w:tc>
          <w:tcPr>
            <w:tcW w:w="755" w:type="pct"/>
            <w:tcBorders>
              <w:left w:val="single" w:sz="4" w:space="0" w:color="auto"/>
            </w:tcBorders>
          </w:tcPr>
          <w:p w14:paraId="1D210E12"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B3251F" w:rsidRPr="00D76A23" w:rsidRDefault="00B3251F" w:rsidP="00B3251F">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555"/>
        <w:gridCol w:w="2126"/>
        <w:gridCol w:w="2126"/>
        <w:gridCol w:w="2126"/>
        <w:gridCol w:w="2581"/>
      </w:tblGrid>
      <w:tr w:rsidR="00825AD5" w:rsidRPr="001B0CDB" w14:paraId="4A03E27A" w14:textId="77777777" w:rsidTr="00E11855">
        <w:trPr>
          <w:trHeight w:val="466"/>
        </w:trPr>
        <w:tc>
          <w:tcPr>
            <w:tcW w:w="1555" w:type="dxa"/>
          </w:tcPr>
          <w:p w14:paraId="6F777B50" w14:textId="3079B627" w:rsidR="00650DBB" w:rsidRPr="001B0CDB" w:rsidRDefault="00650DBB" w:rsidP="00825AD5">
            <w:pPr>
              <w:rPr>
                <w:rFonts w:ascii="Verdana" w:hAnsi="Verdana"/>
                <w:sz w:val="24"/>
                <w:szCs w:val="24"/>
              </w:rPr>
            </w:pPr>
            <w:r>
              <w:rPr>
                <w:rFonts w:ascii="Verdana" w:hAnsi="Verdana"/>
                <w:sz w:val="24"/>
                <w:szCs w:val="24"/>
              </w:rPr>
              <w:t>Scatter Graph</w:t>
            </w:r>
          </w:p>
        </w:tc>
        <w:tc>
          <w:tcPr>
            <w:tcW w:w="2126" w:type="dxa"/>
          </w:tcPr>
          <w:p w14:paraId="55C298C8" w14:textId="6C19C7A5" w:rsidR="00825AD5" w:rsidRPr="001B0CDB" w:rsidRDefault="00650DBB" w:rsidP="00825AD5">
            <w:pPr>
              <w:rPr>
                <w:rFonts w:ascii="Verdana" w:hAnsi="Verdana"/>
                <w:sz w:val="24"/>
                <w:szCs w:val="24"/>
              </w:rPr>
            </w:pPr>
            <w:r>
              <w:rPr>
                <w:rFonts w:ascii="Verdana" w:hAnsi="Verdana"/>
                <w:sz w:val="24"/>
                <w:szCs w:val="24"/>
              </w:rPr>
              <w:t>Cumulative Frequency</w:t>
            </w:r>
          </w:p>
        </w:tc>
        <w:tc>
          <w:tcPr>
            <w:tcW w:w="2126" w:type="dxa"/>
          </w:tcPr>
          <w:p w14:paraId="256C2014" w14:textId="287D3D2B" w:rsidR="00825AD5" w:rsidRPr="001B0CDB" w:rsidRDefault="00650DBB" w:rsidP="00825AD5">
            <w:pPr>
              <w:rPr>
                <w:rFonts w:ascii="Verdana" w:hAnsi="Verdana"/>
                <w:sz w:val="24"/>
                <w:szCs w:val="24"/>
              </w:rPr>
            </w:pPr>
            <w:r>
              <w:rPr>
                <w:rFonts w:ascii="Verdana" w:hAnsi="Verdana"/>
                <w:sz w:val="24"/>
                <w:szCs w:val="24"/>
              </w:rPr>
              <w:t>Box Plot</w:t>
            </w:r>
          </w:p>
        </w:tc>
        <w:tc>
          <w:tcPr>
            <w:tcW w:w="2126" w:type="dxa"/>
          </w:tcPr>
          <w:p w14:paraId="40175690" w14:textId="394161B4" w:rsidR="00825AD5" w:rsidRPr="001B0CDB" w:rsidRDefault="00650DBB" w:rsidP="00825AD5">
            <w:pPr>
              <w:rPr>
                <w:rFonts w:ascii="Verdana" w:hAnsi="Verdana"/>
                <w:sz w:val="24"/>
                <w:szCs w:val="24"/>
              </w:rPr>
            </w:pPr>
            <w:r>
              <w:rPr>
                <w:rFonts w:ascii="Verdana" w:hAnsi="Verdana"/>
                <w:sz w:val="24"/>
                <w:szCs w:val="24"/>
              </w:rPr>
              <w:t>Mean</w:t>
            </w:r>
          </w:p>
        </w:tc>
        <w:tc>
          <w:tcPr>
            <w:tcW w:w="2581" w:type="dxa"/>
          </w:tcPr>
          <w:p w14:paraId="5A60AE19" w14:textId="3F00229D" w:rsidR="00825AD5" w:rsidRPr="001B0CDB" w:rsidRDefault="00650DBB" w:rsidP="00825AD5">
            <w:pPr>
              <w:rPr>
                <w:rFonts w:ascii="Verdana" w:hAnsi="Verdana"/>
                <w:sz w:val="24"/>
                <w:szCs w:val="24"/>
              </w:rPr>
            </w:pPr>
            <w:r>
              <w:rPr>
                <w:rFonts w:ascii="Verdana" w:hAnsi="Verdana"/>
                <w:sz w:val="24"/>
                <w:szCs w:val="24"/>
              </w:rPr>
              <w:t>Median</w:t>
            </w:r>
          </w:p>
        </w:tc>
      </w:tr>
      <w:tr w:rsidR="00825AD5" w:rsidRPr="001B0CDB" w14:paraId="0B15E59C" w14:textId="77777777" w:rsidTr="00E11855">
        <w:trPr>
          <w:trHeight w:val="466"/>
        </w:trPr>
        <w:tc>
          <w:tcPr>
            <w:tcW w:w="1555" w:type="dxa"/>
          </w:tcPr>
          <w:p w14:paraId="121443A8" w14:textId="3A894E16" w:rsidR="00825AD5" w:rsidRPr="001B0CDB" w:rsidRDefault="00650DBB" w:rsidP="00825AD5">
            <w:pPr>
              <w:rPr>
                <w:rFonts w:ascii="Verdana" w:hAnsi="Verdana"/>
                <w:sz w:val="24"/>
                <w:szCs w:val="24"/>
              </w:rPr>
            </w:pPr>
            <w:r>
              <w:rPr>
                <w:rFonts w:ascii="Verdana" w:hAnsi="Verdana"/>
                <w:sz w:val="24"/>
                <w:szCs w:val="24"/>
              </w:rPr>
              <w:t>Mode</w:t>
            </w:r>
          </w:p>
        </w:tc>
        <w:tc>
          <w:tcPr>
            <w:tcW w:w="2126" w:type="dxa"/>
          </w:tcPr>
          <w:p w14:paraId="2E7435A3" w14:textId="2CF676C6" w:rsidR="00825AD5" w:rsidRPr="001B0CDB" w:rsidRDefault="00650DBB" w:rsidP="00825AD5">
            <w:pPr>
              <w:rPr>
                <w:rFonts w:ascii="Verdana" w:hAnsi="Verdana"/>
                <w:sz w:val="24"/>
                <w:szCs w:val="24"/>
              </w:rPr>
            </w:pPr>
            <w:r>
              <w:rPr>
                <w:rFonts w:ascii="Verdana" w:hAnsi="Verdana"/>
                <w:sz w:val="24"/>
                <w:szCs w:val="24"/>
              </w:rPr>
              <w:t>Arithmetic</w:t>
            </w:r>
          </w:p>
        </w:tc>
        <w:tc>
          <w:tcPr>
            <w:tcW w:w="2126" w:type="dxa"/>
          </w:tcPr>
          <w:p w14:paraId="3B3A6B22" w14:textId="7D6DC88E" w:rsidR="00825AD5" w:rsidRPr="001B0CDB" w:rsidRDefault="00650DBB" w:rsidP="00825AD5">
            <w:pPr>
              <w:rPr>
                <w:rFonts w:ascii="Verdana" w:hAnsi="Verdana"/>
                <w:sz w:val="24"/>
                <w:szCs w:val="24"/>
              </w:rPr>
            </w:pPr>
            <w:r>
              <w:rPr>
                <w:rFonts w:ascii="Verdana" w:hAnsi="Verdana"/>
                <w:sz w:val="24"/>
                <w:szCs w:val="24"/>
              </w:rPr>
              <w:t>Geometric</w:t>
            </w:r>
          </w:p>
        </w:tc>
        <w:tc>
          <w:tcPr>
            <w:tcW w:w="2126" w:type="dxa"/>
          </w:tcPr>
          <w:p w14:paraId="4B2CC4AD" w14:textId="48F13B39" w:rsidR="00825AD5" w:rsidRPr="001B0CDB" w:rsidRDefault="00650DBB" w:rsidP="00825AD5">
            <w:pPr>
              <w:rPr>
                <w:rFonts w:ascii="Verdana" w:hAnsi="Verdana"/>
                <w:sz w:val="24"/>
                <w:szCs w:val="24"/>
              </w:rPr>
            </w:pPr>
            <w:r>
              <w:rPr>
                <w:rFonts w:ascii="Verdana" w:hAnsi="Verdana"/>
                <w:sz w:val="24"/>
                <w:szCs w:val="24"/>
              </w:rPr>
              <w:t>Indices</w:t>
            </w:r>
          </w:p>
        </w:tc>
        <w:tc>
          <w:tcPr>
            <w:tcW w:w="2581" w:type="dxa"/>
          </w:tcPr>
          <w:p w14:paraId="0F820C13" w14:textId="27D45A10" w:rsidR="00825AD5" w:rsidRPr="001B0CDB" w:rsidRDefault="00855409" w:rsidP="00825AD5">
            <w:pPr>
              <w:rPr>
                <w:rFonts w:ascii="Verdana" w:hAnsi="Verdana"/>
                <w:sz w:val="24"/>
                <w:szCs w:val="24"/>
              </w:rPr>
            </w:pPr>
            <w:r>
              <w:rPr>
                <w:rFonts w:ascii="Verdana" w:hAnsi="Verdana"/>
                <w:sz w:val="24"/>
                <w:szCs w:val="24"/>
              </w:rPr>
              <w:t>(un)likely</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3DFE3A8" w14:textId="501161D1" w:rsidR="00E11855" w:rsidRDefault="00E11855" w:rsidP="00E11855">
            <w:pPr>
              <w:pStyle w:val="Heading1"/>
              <w:shd w:val="clear" w:color="auto" w:fill="FCFCFC"/>
              <w:spacing w:before="0" w:after="240"/>
              <w:jc w:val="center"/>
              <w:outlineLvl w:val="0"/>
              <w:rPr>
                <w:rFonts w:ascii="PT Sans" w:eastAsia="Times New Roman" w:hAnsi="PT Sans" w:cs="Times New Roman"/>
                <w:sz w:val="24"/>
                <w:szCs w:val="24"/>
                <w:lang w:eastAsia="en-GB"/>
              </w:rPr>
            </w:pPr>
            <w:r>
              <w:rPr>
                <w:rFonts w:ascii="PT Sans" w:hAnsi="PT Sans"/>
                <w:noProof/>
                <w:color w:val="404040"/>
                <w:shd w:val="clear" w:color="auto" w:fill="FCFCFC"/>
              </w:rPr>
              <w:drawing>
                <wp:anchor distT="0" distB="0" distL="114300" distR="114300" simplePos="0" relativeHeight="251658240" behindDoc="0" locked="0" layoutInCell="1" allowOverlap="1" wp14:anchorId="78B76E71" wp14:editId="5A3D2AC3">
                  <wp:simplePos x="0" y="0"/>
                  <wp:positionH relativeFrom="column">
                    <wp:posOffset>4843145</wp:posOffset>
                  </wp:positionH>
                  <wp:positionV relativeFrom="paragraph">
                    <wp:posOffset>229870</wp:posOffset>
                  </wp:positionV>
                  <wp:extent cx="1609725" cy="241744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2417445"/>
                          </a:xfrm>
                          <a:prstGeom prst="rect">
                            <a:avLst/>
                          </a:prstGeom>
                          <a:noFill/>
                        </pic:spPr>
                      </pic:pic>
                    </a:graphicData>
                  </a:graphic>
                  <wp14:sizeRelH relativeFrom="margin">
                    <wp14:pctWidth>0</wp14:pctWidth>
                  </wp14:sizeRelH>
                  <wp14:sizeRelV relativeFrom="margin">
                    <wp14:pctHeight>0</wp14:pctHeight>
                  </wp14:sizeRelV>
                </wp:anchor>
              </w:drawing>
            </w:r>
          </w:p>
          <w:p w14:paraId="626EAADC" w14:textId="238F6B3A" w:rsidR="00E11855" w:rsidRDefault="0018717F" w:rsidP="00E11855">
            <w:pPr>
              <w:pStyle w:val="Heading1"/>
              <w:shd w:val="clear" w:color="auto" w:fill="FCFCFC"/>
              <w:spacing w:before="0" w:after="240"/>
              <w:jc w:val="center"/>
              <w:outlineLvl w:val="0"/>
              <w:rPr>
                <w:rFonts w:ascii="PT Sans" w:hAnsi="PT Sans"/>
                <w:color w:val="404040"/>
                <w:sz w:val="60"/>
                <w:szCs w:val="60"/>
              </w:rPr>
            </w:pPr>
            <w:r>
              <w:rPr>
                <w:rFonts w:ascii="PT Sans" w:eastAsia="Times New Roman" w:hAnsi="PT Sans" w:cs="Times New Roman"/>
                <w:sz w:val="24"/>
                <w:szCs w:val="24"/>
                <w:lang w:eastAsia="en-GB"/>
              </w:rPr>
              <w:t xml:space="preserve"> </w:t>
            </w:r>
            <w:r w:rsidR="00E11855" w:rsidRPr="00E11855">
              <w:rPr>
                <w:rStyle w:val="field"/>
                <w:rFonts w:ascii="PT Sans" w:hAnsi="PT Sans"/>
                <w:color w:val="404040"/>
                <w:sz w:val="36"/>
                <w:szCs w:val="36"/>
              </w:rPr>
              <w:t xml:space="preserve">The Monty Hall Problem: Beyond Closed Doors – Rob </w:t>
            </w:r>
            <w:proofErr w:type="spellStart"/>
            <w:r w:rsidR="00E11855" w:rsidRPr="00E11855">
              <w:rPr>
                <w:rStyle w:val="field"/>
                <w:rFonts w:ascii="PT Sans" w:hAnsi="PT Sans"/>
                <w:color w:val="404040"/>
                <w:sz w:val="36"/>
                <w:szCs w:val="36"/>
              </w:rPr>
              <w:t>Deaves</w:t>
            </w:r>
            <w:proofErr w:type="spellEnd"/>
          </w:p>
          <w:p w14:paraId="2FE95E2F"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r w:rsidRPr="00E11855">
              <w:rPr>
                <w:rFonts w:ascii="PT Sans" w:hAnsi="PT Sans"/>
                <w:color w:val="404040"/>
                <w:sz w:val="24"/>
                <w:szCs w:val="24"/>
                <w:shd w:val="clear" w:color="auto" w:fill="FCFCFC"/>
              </w:rPr>
              <w:t xml:space="preserve">This short book explores the Monty Hall dilemma, a </w:t>
            </w:r>
            <w:proofErr w:type="spellStart"/>
            <w:proofErr w:type="gramStart"/>
            <w:r w:rsidRPr="00E11855">
              <w:rPr>
                <w:rFonts w:ascii="PT Sans" w:hAnsi="PT Sans"/>
                <w:color w:val="404040"/>
                <w:sz w:val="24"/>
                <w:szCs w:val="24"/>
                <w:shd w:val="clear" w:color="auto" w:fill="FCFCFC"/>
              </w:rPr>
              <w:t>well known</w:t>
            </w:r>
            <w:proofErr w:type="spellEnd"/>
            <w:proofErr w:type="gramEnd"/>
            <w:r w:rsidRPr="00E11855">
              <w:rPr>
                <w:rFonts w:ascii="PT Sans" w:hAnsi="PT Sans"/>
                <w:color w:val="404040"/>
                <w:sz w:val="24"/>
                <w:szCs w:val="24"/>
                <w:shd w:val="clear" w:color="auto" w:fill="FCFCFC"/>
              </w:rPr>
              <w:t xml:space="preserve"> mathematical puzzle. The original problem, the controversy surrounding it and its solution are discussed. Further, the boundaries of the problem are expanded to consider prior knowledge and host intention. This book should be of interest to those who enjoy problem solving.</w:t>
            </w:r>
          </w:p>
          <w:p w14:paraId="6E7E14B7"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p>
          <w:p w14:paraId="307B4955" w14:textId="26CF01A0" w:rsidR="00E11855" w:rsidRPr="001C6519" w:rsidRDefault="00E11855"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855409"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855409"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855409"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855409"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855409"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855409"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855409"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855409"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855409"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6FF6119E" w:rsidR="0074569D" w:rsidRDefault="00855409"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r w:rsidR="00650DBB">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B080A"/>
    <w:rsid w:val="001B0CDB"/>
    <w:rsid w:val="001C6519"/>
    <w:rsid w:val="001E615B"/>
    <w:rsid w:val="00241770"/>
    <w:rsid w:val="002A7367"/>
    <w:rsid w:val="003144AD"/>
    <w:rsid w:val="0031774D"/>
    <w:rsid w:val="003A1B47"/>
    <w:rsid w:val="004141AA"/>
    <w:rsid w:val="004212E6"/>
    <w:rsid w:val="0044451F"/>
    <w:rsid w:val="00455F38"/>
    <w:rsid w:val="004E508E"/>
    <w:rsid w:val="0055131B"/>
    <w:rsid w:val="00574803"/>
    <w:rsid w:val="005B34CD"/>
    <w:rsid w:val="005C2ADA"/>
    <w:rsid w:val="005C491C"/>
    <w:rsid w:val="00600D14"/>
    <w:rsid w:val="006012BB"/>
    <w:rsid w:val="00650DBB"/>
    <w:rsid w:val="006E3556"/>
    <w:rsid w:val="0074569D"/>
    <w:rsid w:val="00773CFD"/>
    <w:rsid w:val="00783A14"/>
    <w:rsid w:val="007E5C02"/>
    <w:rsid w:val="0082039C"/>
    <w:rsid w:val="00825AD5"/>
    <w:rsid w:val="00831BCF"/>
    <w:rsid w:val="00855409"/>
    <w:rsid w:val="008D477B"/>
    <w:rsid w:val="008F6C26"/>
    <w:rsid w:val="00920585"/>
    <w:rsid w:val="009352F5"/>
    <w:rsid w:val="009C031C"/>
    <w:rsid w:val="009D0BFB"/>
    <w:rsid w:val="00A64F1E"/>
    <w:rsid w:val="00AD03F7"/>
    <w:rsid w:val="00AF4C1A"/>
    <w:rsid w:val="00B00A2E"/>
    <w:rsid w:val="00B245FA"/>
    <w:rsid w:val="00B3251F"/>
    <w:rsid w:val="00B71289"/>
    <w:rsid w:val="00BE6F99"/>
    <w:rsid w:val="00C20CB3"/>
    <w:rsid w:val="00C3725F"/>
    <w:rsid w:val="00C4516B"/>
    <w:rsid w:val="00C9000C"/>
    <w:rsid w:val="00C96B26"/>
    <w:rsid w:val="00CD4D82"/>
    <w:rsid w:val="00CD7EAA"/>
    <w:rsid w:val="00CE239B"/>
    <w:rsid w:val="00D008D5"/>
    <w:rsid w:val="00D45DFE"/>
    <w:rsid w:val="00D76A23"/>
    <w:rsid w:val="00D80643"/>
    <w:rsid w:val="00D944D3"/>
    <w:rsid w:val="00DF0323"/>
    <w:rsid w:val="00E07FDF"/>
    <w:rsid w:val="00E11855"/>
    <w:rsid w:val="00E22E72"/>
    <w:rsid w:val="00E2643B"/>
    <w:rsid w:val="00E619DD"/>
    <w:rsid w:val="00EF228C"/>
    <w:rsid w:val="00EF71F1"/>
    <w:rsid w:val="00F04698"/>
    <w:rsid w:val="00F22B57"/>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060519730">
      <w:bodyDiv w:val="1"/>
      <w:marLeft w:val="0"/>
      <w:marRight w:val="0"/>
      <w:marTop w:val="0"/>
      <w:marBottom w:val="0"/>
      <w:divBdr>
        <w:top w:val="none" w:sz="0" w:space="0" w:color="auto"/>
        <w:left w:val="none" w:sz="0" w:space="0" w:color="auto"/>
        <w:bottom w:val="none" w:sz="0" w:space="0" w:color="auto"/>
        <w:right w:val="none" w:sz="0" w:space="0" w:color="auto"/>
      </w:divBdr>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541</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2</cp:revision>
  <dcterms:created xsi:type="dcterms:W3CDTF">2026-03-27T10:24:00Z</dcterms:created>
  <dcterms:modified xsi:type="dcterms:W3CDTF">2026-03-27T10:24:00Z</dcterms:modified>
</cp:coreProperties>
</file>