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32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4B7415">
        <w:trPr>
          <w:trHeight w:val="557"/>
        </w:trPr>
        <w:tc>
          <w:tcPr>
            <w:tcW w:w="3372" w:type="dxa"/>
            <w:gridSpan w:val="3"/>
          </w:tcPr>
          <w:p w14:paraId="056BEAE1" w14:textId="10B56ACC" w:rsidR="00B245FA" w:rsidRPr="00B245FA" w:rsidRDefault="00B245FA" w:rsidP="004B7415">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9A32F8">
              <w:rPr>
                <w:rFonts w:ascii="Verdana" w:hAnsi="Verdana"/>
                <w:b/>
                <w:bCs/>
                <w:sz w:val="24"/>
                <w:szCs w:val="24"/>
              </w:rPr>
              <w:t>EW08</w:t>
            </w:r>
          </w:p>
        </w:tc>
        <w:tc>
          <w:tcPr>
            <w:tcW w:w="3619" w:type="dxa"/>
          </w:tcPr>
          <w:p w14:paraId="181E5C95" w14:textId="74956EFD" w:rsidR="00B245FA" w:rsidRPr="00B245FA" w:rsidRDefault="00B245FA" w:rsidP="004B7415">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1ACED440" w:rsidR="00B245FA" w:rsidRPr="00B245FA" w:rsidRDefault="00B245FA" w:rsidP="004B7415">
            <w:pPr>
              <w:rPr>
                <w:rFonts w:ascii="Verdana" w:hAnsi="Verdana"/>
                <w:b/>
                <w:bCs/>
                <w:sz w:val="24"/>
                <w:szCs w:val="24"/>
              </w:rPr>
            </w:pPr>
            <w:r w:rsidRPr="00B245FA">
              <w:rPr>
                <w:rFonts w:ascii="Verdana" w:hAnsi="Verdana"/>
                <w:b/>
                <w:bCs/>
                <w:sz w:val="24"/>
                <w:szCs w:val="24"/>
              </w:rPr>
              <w:t xml:space="preserve">Term: </w:t>
            </w:r>
            <w:r w:rsidR="009A32F8">
              <w:rPr>
                <w:rFonts w:ascii="Verdana" w:hAnsi="Verdana"/>
                <w:b/>
                <w:bCs/>
                <w:sz w:val="24"/>
                <w:szCs w:val="24"/>
              </w:rPr>
              <w:t>2</w:t>
            </w:r>
          </w:p>
        </w:tc>
      </w:tr>
      <w:tr w:rsidR="00B245FA" w:rsidRPr="00B245FA" w14:paraId="736F6FB1" w14:textId="77777777" w:rsidTr="004B7415">
        <w:trPr>
          <w:trHeight w:val="412"/>
        </w:trPr>
        <w:tc>
          <w:tcPr>
            <w:tcW w:w="1676" w:type="dxa"/>
            <w:gridSpan w:val="2"/>
          </w:tcPr>
          <w:p w14:paraId="503FC8A9" w14:textId="77777777" w:rsidR="00B245FA" w:rsidRPr="00B245FA" w:rsidRDefault="00B245FA" w:rsidP="004B7415">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61A2D543" w:rsidR="00B245FA" w:rsidRPr="00B245FA" w:rsidRDefault="009A32F8" w:rsidP="004B7415">
            <w:pPr>
              <w:rPr>
                <w:rFonts w:ascii="Verdana" w:hAnsi="Verdana"/>
                <w:b/>
                <w:bCs/>
                <w:sz w:val="24"/>
                <w:szCs w:val="24"/>
              </w:rPr>
            </w:pPr>
            <w:r>
              <w:rPr>
                <w:rFonts w:ascii="Verdana" w:hAnsi="Verdana"/>
                <w:b/>
                <w:bCs/>
                <w:sz w:val="24"/>
                <w:szCs w:val="24"/>
              </w:rPr>
              <w:t>Alex Bird</w:t>
            </w:r>
          </w:p>
        </w:tc>
      </w:tr>
      <w:tr w:rsidR="00B245FA" w:rsidRPr="00B245FA" w14:paraId="0B0B2711" w14:textId="77777777" w:rsidTr="004B7415">
        <w:trPr>
          <w:trHeight w:val="500"/>
        </w:trPr>
        <w:tc>
          <w:tcPr>
            <w:tcW w:w="10294" w:type="dxa"/>
            <w:gridSpan w:val="5"/>
          </w:tcPr>
          <w:p w14:paraId="151CC055" w14:textId="1395C3A8" w:rsidR="00B245FA" w:rsidRPr="00B245FA" w:rsidRDefault="00B245FA" w:rsidP="004B7415">
            <w:pPr>
              <w:rPr>
                <w:rFonts w:ascii="Verdana" w:hAnsi="Verdana"/>
                <w:b/>
                <w:bCs/>
                <w:color w:val="002060"/>
                <w:sz w:val="24"/>
                <w:szCs w:val="24"/>
              </w:rPr>
            </w:pPr>
            <w:r w:rsidRPr="00B245FA">
              <w:rPr>
                <w:rFonts w:ascii="Verdana" w:hAnsi="Verdana"/>
                <w:b/>
                <w:bCs/>
                <w:color w:val="002060"/>
                <w:sz w:val="24"/>
                <w:szCs w:val="24"/>
              </w:rPr>
              <w:t xml:space="preserve">Curriculum: </w:t>
            </w:r>
            <w:r w:rsidR="009A32F8">
              <w:rPr>
                <w:rFonts w:ascii="Verdana" w:hAnsi="Verdana"/>
                <w:b/>
                <w:bCs/>
                <w:color w:val="002060"/>
                <w:sz w:val="24"/>
                <w:szCs w:val="24"/>
              </w:rPr>
              <w:t>Secondary One Exploring</w:t>
            </w:r>
          </w:p>
        </w:tc>
      </w:tr>
      <w:tr w:rsidR="00B245FA" w:rsidRPr="00B245FA" w14:paraId="351A68E2" w14:textId="77777777" w:rsidTr="004B7415">
        <w:trPr>
          <w:trHeight w:val="500"/>
        </w:trPr>
        <w:tc>
          <w:tcPr>
            <w:tcW w:w="10294" w:type="dxa"/>
            <w:gridSpan w:val="5"/>
          </w:tcPr>
          <w:p w14:paraId="6EA17A8A" w14:textId="23C63309" w:rsidR="00AC088B" w:rsidRDefault="00AC088B" w:rsidP="00AC088B">
            <w:pPr>
              <w:rPr>
                <w:rFonts w:ascii="Verdana" w:hAnsi="Verdana"/>
                <w:b/>
                <w:bCs/>
                <w:color w:val="002060"/>
                <w:sz w:val="24"/>
                <w:szCs w:val="24"/>
              </w:rPr>
            </w:pPr>
            <w:r w:rsidRPr="00B245FA">
              <w:rPr>
                <w:rFonts w:ascii="Verdana" w:hAnsi="Verdana"/>
                <w:b/>
                <w:bCs/>
                <w:color w:val="002060"/>
                <w:sz w:val="24"/>
                <w:szCs w:val="24"/>
              </w:rPr>
              <w:t xml:space="preserve">Term </w:t>
            </w:r>
            <w:r>
              <w:rPr>
                <w:rFonts w:ascii="Verdana" w:hAnsi="Verdana"/>
                <w:b/>
                <w:bCs/>
                <w:color w:val="002060"/>
                <w:sz w:val="24"/>
                <w:szCs w:val="24"/>
              </w:rPr>
              <w:t>2</w:t>
            </w:r>
            <w:r w:rsidRPr="00B245FA">
              <w:rPr>
                <w:rFonts w:ascii="Verdana" w:hAnsi="Verdana"/>
                <w:b/>
                <w:bCs/>
                <w:color w:val="002060"/>
                <w:sz w:val="24"/>
                <w:szCs w:val="24"/>
              </w:rPr>
              <w:t xml:space="preserve"> focus: </w:t>
            </w:r>
          </w:p>
          <w:p w14:paraId="05A0A86E" w14:textId="77777777" w:rsidR="009A32F8" w:rsidRDefault="009A32F8" w:rsidP="00AC088B">
            <w:pPr>
              <w:rPr>
                <w:rFonts w:ascii="Verdana" w:hAnsi="Verdana"/>
                <w:b/>
                <w:bCs/>
                <w:color w:val="002060"/>
                <w:sz w:val="24"/>
                <w:szCs w:val="24"/>
              </w:rPr>
            </w:pPr>
          </w:p>
          <w:p w14:paraId="240F92F8" w14:textId="77777777" w:rsidR="009A32F8" w:rsidRDefault="009A32F8" w:rsidP="009A32F8">
            <w:pPr>
              <w:rPr>
                <w:rFonts w:ascii="Verdana" w:hAnsi="Verdana"/>
                <w:b/>
                <w:bCs/>
                <w:color w:val="002060"/>
                <w:sz w:val="24"/>
                <w:szCs w:val="24"/>
              </w:rPr>
            </w:pPr>
            <w:r>
              <w:rPr>
                <w:rFonts w:ascii="Verdana" w:hAnsi="Verdana"/>
                <w:b/>
                <w:bCs/>
                <w:color w:val="002060"/>
                <w:sz w:val="24"/>
                <w:szCs w:val="24"/>
              </w:rPr>
              <w:t>HT1: Short Stories and Creative Writing</w:t>
            </w:r>
          </w:p>
          <w:p w14:paraId="0486004D" w14:textId="77777777" w:rsidR="009A32F8" w:rsidRDefault="009A32F8" w:rsidP="009A32F8">
            <w:pPr>
              <w:rPr>
                <w:rFonts w:ascii="Verdana" w:hAnsi="Verdana"/>
                <w:b/>
                <w:bCs/>
                <w:color w:val="002060"/>
                <w:sz w:val="24"/>
                <w:szCs w:val="24"/>
              </w:rPr>
            </w:pPr>
            <w:r>
              <w:rPr>
                <w:rFonts w:ascii="Verdana" w:hAnsi="Verdana"/>
                <w:b/>
                <w:bCs/>
                <w:color w:val="002060"/>
                <w:sz w:val="24"/>
                <w:szCs w:val="24"/>
              </w:rPr>
              <w:t xml:space="preserve">HT2: 20th century </w:t>
            </w:r>
            <w:proofErr w:type="gramStart"/>
            <w:r>
              <w:rPr>
                <w:rFonts w:ascii="Verdana" w:hAnsi="Verdana"/>
                <w:b/>
                <w:bCs/>
                <w:color w:val="002060"/>
                <w:sz w:val="24"/>
                <w:szCs w:val="24"/>
              </w:rPr>
              <w:t>play</w:t>
            </w:r>
            <w:proofErr w:type="gramEnd"/>
            <w:r>
              <w:rPr>
                <w:rFonts w:ascii="Verdana" w:hAnsi="Verdana"/>
                <w:b/>
                <w:bCs/>
                <w:color w:val="002060"/>
                <w:sz w:val="24"/>
                <w:szCs w:val="24"/>
              </w:rPr>
              <w:t xml:space="preserve"> and speaking and listening</w:t>
            </w:r>
          </w:p>
          <w:p w14:paraId="139C8E15" w14:textId="77777777" w:rsidR="00693B19" w:rsidRDefault="00693B19" w:rsidP="00B47A3E">
            <w:pPr>
              <w:rPr>
                <w:rFonts w:ascii="Verdana" w:hAnsi="Verdana"/>
                <w:b/>
                <w:bCs/>
                <w:color w:val="002060"/>
                <w:sz w:val="24"/>
                <w:szCs w:val="24"/>
              </w:rPr>
            </w:pPr>
          </w:p>
          <w:p w14:paraId="56018985" w14:textId="33613093" w:rsidR="00AC08FD" w:rsidRDefault="00AC08FD" w:rsidP="00AC08FD">
            <w:pPr>
              <w:spacing w:before="100" w:beforeAutospacing="1" w:after="100" w:afterAutospacing="1"/>
              <w:rPr>
                <w:rFonts w:eastAsia="Times New Roman" w:cstheme="minorHAnsi"/>
                <w:sz w:val="24"/>
                <w:szCs w:val="24"/>
                <w:lang w:eastAsia="en-GB"/>
              </w:rPr>
            </w:pPr>
            <w:r w:rsidRPr="00AC08FD">
              <w:rPr>
                <w:rFonts w:eastAsia="Times New Roman" w:cstheme="minorHAnsi"/>
                <w:sz w:val="24"/>
                <w:szCs w:val="24"/>
                <w:lang w:eastAsia="en-GB"/>
              </w:rPr>
              <w:t>This term, our studies will centre on developing both reading and writing skills through a comprehensive study of a selection of high-quality short stories and a 20</w:t>
            </w:r>
            <w:r w:rsidRPr="00AC08FD">
              <w:rPr>
                <w:rFonts w:eastAsia="Times New Roman" w:cstheme="minorHAnsi"/>
                <w:sz w:val="24"/>
                <w:szCs w:val="24"/>
                <w:vertAlign w:val="superscript"/>
                <w:lang w:eastAsia="en-GB"/>
              </w:rPr>
              <w:t>th</w:t>
            </w:r>
            <w:r w:rsidRPr="00AC08FD">
              <w:rPr>
                <w:rFonts w:eastAsia="Times New Roman" w:cstheme="minorHAnsi"/>
                <w:sz w:val="24"/>
                <w:szCs w:val="24"/>
                <w:lang w:eastAsia="en-GB"/>
              </w:rPr>
              <w:t xml:space="preserve"> century play.</w:t>
            </w:r>
          </w:p>
          <w:p w14:paraId="15E873A6" w14:textId="1E484811" w:rsidR="00AC08FD" w:rsidRPr="00AC08FD" w:rsidRDefault="00AC08FD" w:rsidP="00AC08FD">
            <w:pPr>
              <w:spacing w:before="100" w:beforeAutospacing="1" w:after="100" w:afterAutospacing="1"/>
              <w:rPr>
                <w:rFonts w:eastAsia="Times New Roman" w:cstheme="minorHAnsi"/>
                <w:sz w:val="24"/>
                <w:szCs w:val="24"/>
                <w:lang w:eastAsia="en-GB"/>
              </w:rPr>
            </w:pPr>
            <w:r w:rsidRPr="00AC08FD">
              <w:rPr>
                <w:rFonts w:eastAsia="Times New Roman" w:cstheme="minorHAnsi"/>
                <w:sz w:val="24"/>
                <w:szCs w:val="24"/>
                <w:lang w:eastAsia="en-GB"/>
              </w:rPr>
              <w:t>This term, students will focus on developing both reading and writing skills through an in-depth exploration of various texts. In reading, students will learn to identify relevant points and make inferences based on evidence from different sections of a text. For instance, they will interpret a character's motivations through their actions at various points in the narrative. They will also be introduced to structural elements, such as recognizing how an author may describe an event, before explaining its cause, or how the sequence of events impacts the overall understanding. Additionally, students will begin to identify basic features of a writer’s use of language, such as how questions can create suspense and keep the reader engaged. They will also work on identifying the main purpose of texts</w:t>
            </w:r>
            <w:r>
              <w:rPr>
                <w:rFonts w:eastAsia="Times New Roman" w:cstheme="minorHAnsi"/>
                <w:sz w:val="24"/>
                <w:szCs w:val="24"/>
                <w:lang w:eastAsia="en-GB"/>
              </w:rPr>
              <w:t>.</w:t>
            </w:r>
          </w:p>
          <w:p w14:paraId="11A967E5" w14:textId="571DC50B" w:rsidR="00AC08FD" w:rsidRPr="00AC08FD" w:rsidRDefault="00AC08FD" w:rsidP="00AC08FD">
            <w:pPr>
              <w:spacing w:before="100" w:beforeAutospacing="1" w:after="100" w:afterAutospacing="1"/>
              <w:rPr>
                <w:rFonts w:eastAsia="Times New Roman" w:cstheme="minorHAnsi"/>
                <w:sz w:val="24"/>
                <w:szCs w:val="24"/>
                <w:lang w:eastAsia="en-GB"/>
              </w:rPr>
            </w:pPr>
            <w:r w:rsidRPr="00AC08FD">
              <w:rPr>
                <w:rFonts w:eastAsia="Times New Roman" w:cstheme="minorHAnsi"/>
                <w:sz w:val="24"/>
                <w:szCs w:val="24"/>
                <w:lang w:eastAsia="en-GB"/>
              </w:rPr>
              <w:t xml:space="preserve">In writing, students will focus on selecting relevant ideas and organizing them logically, either by clustering related points or following a time sequence. They will be encouraged to structure their writing into clear paragraphs, with each section supporting or expanding on the main idea. To enhance their writing, students will practice varying sentence length, structure, and subject matter, keeping their work dynamic and engaging. There will also be a focus on deliberate vocabulary choices to strengthen their </w:t>
            </w:r>
            <w:r>
              <w:rPr>
                <w:rFonts w:eastAsia="Times New Roman" w:cstheme="minorHAnsi"/>
                <w:sz w:val="24"/>
                <w:szCs w:val="24"/>
                <w:lang w:eastAsia="en-GB"/>
              </w:rPr>
              <w:t>descriptions</w:t>
            </w:r>
            <w:r w:rsidRPr="00AC08FD">
              <w:rPr>
                <w:rFonts w:eastAsia="Times New Roman" w:cstheme="minorHAnsi"/>
                <w:sz w:val="24"/>
                <w:szCs w:val="24"/>
                <w:lang w:eastAsia="en-GB"/>
              </w:rPr>
              <w:t xml:space="preserve"> and ensure clarity. These skills will help students craft well-organized, compelling, and thoughtful pieces of writing.</w:t>
            </w:r>
          </w:p>
          <w:p w14:paraId="45E674C4" w14:textId="6CABBDC8" w:rsidR="00AC08FD" w:rsidRPr="00B245FA" w:rsidRDefault="00AC08FD" w:rsidP="00B47A3E">
            <w:pPr>
              <w:rPr>
                <w:rFonts w:ascii="Verdana" w:hAnsi="Verdana"/>
                <w:b/>
                <w:bCs/>
                <w:color w:val="002060"/>
                <w:sz w:val="24"/>
                <w:szCs w:val="24"/>
              </w:rPr>
            </w:pPr>
          </w:p>
        </w:tc>
      </w:tr>
      <w:tr w:rsidR="005376C9" w:rsidRPr="00B245FA" w14:paraId="4949E02A" w14:textId="77777777" w:rsidTr="004B7415">
        <w:trPr>
          <w:trHeight w:val="537"/>
        </w:trPr>
        <w:tc>
          <w:tcPr>
            <w:tcW w:w="1001" w:type="dxa"/>
          </w:tcPr>
          <w:p w14:paraId="77CE8612" w14:textId="77777777" w:rsidR="005376C9" w:rsidRPr="00B245FA" w:rsidRDefault="005376C9" w:rsidP="004B7415">
            <w:pPr>
              <w:rPr>
                <w:rFonts w:ascii="Verdana" w:hAnsi="Verdana"/>
                <w:color w:val="002060"/>
                <w:sz w:val="24"/>
                <w:szCs w:val="24"/>
              </w:rPr>
            </w:pPr>
          </w:p>
        </w:tc>
        <w:tc>
          <w:tcPr>
            <w:tcW w:w="9293" w:type="dxa"/>
            <w:gridSpan w:val="4"/>
          </w:tcPr>
          <w:p w14:paraId="157783A5" w14:textId="77777777" w:rsidR="00AC088B" w:rsidRPr="00017AB1" w:rsidRDefault="00AC088B" w:rsidP="00AC088B">
            <w:pPr>
              <w:rPr>
                <w:rFonts w:ascii="Verdana" w:hAnsi="Verdana"/>
                <w:color w:val="002060"/>
                <w:sz w:val="24"/>
                <w:szCs w:val="24"/>
              </w:rPr>
            </w:pPr>
            <w:r w:rsidRPr="00017AB1">
              <w:rPr>
                <w:rFonts w:ascii="Verdana" w:hAnsi="Verdana"/>
                <w:color w:val="002060"/>
                <w:sz w:val="24"/>
                <w:szCs w:val="24"/>
              </w:rPr>
              <w:t>Reading:</w:t>
            </w:r>
          </w:p>
          <w:p w14:paraId="25020338" w14:textId="77777777" w:rsidR="00AC088B" w:rsidRPr="00943789" w:rsidRDefault="00AC088B" w:rsidP="00AC088B">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Structure.</w:t>
            </w:r>
          </w:p>
          <w:p w14:paraId="48FA66E3" w14:textId="5942509C" w:rsidR="005376C9" w:rsidRPr="005376C9" w:rsidRDefault="00AC088B" w:rsidP="00AC088B">
            <w:pPr>
              <w:rPr>
                <w:rStyle w:val="normaltextrun"/>
                <w:rFonts w:ascii="Verdana" w:hAnsi="Verdana" w:cs="Calibri"/>
                <w:color w:val="4472C4" w:themeColor="accent1"/>
                <w:sz w:val="24"/>
                <w:szCs w:val="24"/>
                <w:bdr w:val="none" w:sz="0" w:space="0" w:color="auto" w:frame="1"/>
              </w:rPr>
            </w:pPr>
            <w:r w:rsidRPr="00943789">
              <w:rPr>
                <w:rFonts w:ascii="Verdana" w:hAnsi="Verdana"/>
                <w:color w:val="002060"/>
                <w:sz w:val="24"/>
                <w:szCs w:val="24"/>
              </w:rPr>
              <w:t xml:space="preserve">HT2: </w:t>
            </w:r>
            <w:r>
              <w:rPr>
                <w:rFonts w:ascii="Verdana" w:hAnsi="Verdana"/>
                <w:color w:val="002060"/>
                <w:sz w:val="24"/>
                <w:szCs w:val="24"/>
              </w:rPr>
              <w:t>Discussion of ideas, themes and contemporary issues arising from the text.</w:t>
            </w:r>
          </w:p>
        </w:tc>
      </w:tr>
      <w:tr w:rsidR="00B245FA" w:rsidRPr="00B245FA" w14:paraId="358C24DA" w14:textId="77777777" w:rsidTr="004B7415">
        <w:trPr>
          <w:trHeight w:val="537"/>
        </w:trPr>
        <w:tc>
          <w:tcPr>
            <w:tcW w:w="1001" w:type="dxa"/>
          </w:tcPr>
          <w:p w14:paraId="51366C3C" w14:textId="5B8A6ABA" w:rsidR="00B245FA" w:rsidRPr="00B245FA" w:rsidRDefault="009806BB" w:rsidP="004B7415">
            <w:pPr>
              <w:rPr>
                <w:rFonts w:ascii="Verdana" w:hAnsi="Verdana"/>
                <w:color w:val="002060"/>
                <w:sz w:val="24"/>
                <w:szCs w:val="24"/>
              </w:rPr>
            </w:pPr>
            <w:r>
              <w:rPr>
                <w:rFonts w:ascii="Verdana" w:hAnsi="Verdana"/>
                <w:color w:val="002060"/>
                <w:sz w:val="24"/>
                <w:szCs w:val="24"/>
              </w:rPr>
              <w:t>KO2</w:t>
            </w:r>
          </w:p>
        </w:tc>
        <w:tc>
          <w:tcPr>
            <w:tcW w:w="9293" w:type="dxa"/>
            <w:gridSpan w:val="4"/>
          </w:tcPr>
          <w:p w14:paraId="008A6ED1" w14:textId="5AA1D9A4" w:rsidR="009A32F8" w:rsidRPr="009A32F8" w:rsidRDefault="009A32F8" w:rsidP="009A32F8">
            <w:r w:rsidRPr="009A32F8">
              <w:t>Across a range of reading some relevant points identified</w:t>
            </w:r>
          </w:p>
          <w:p w14:paraId="2FE3143D" w14:textId="0D616DDF" w:rsidR="00B245FA" w:rsidRPr="009A32F8" w:rsidRDefault="00B245FA" w:rsidP="004B7415"/>
        </w:tc>
      </w:tr>
      <w:tr w:rsidR="00D248FF" w:rsidRPr="00B245FA" w14:paraId="73FCEE28" w14:textId="77777777" w:rsidTr="004B7415">
        <w:trPr>
          <w:trHeight w:val="537"/>
        </w:trPr>
        <w:tc>
          <w:tcPr>
            <w:tcW w:w="1001" w:type="dxa"/>
          </w:tcPr>
          <w:p w14:paraId="1AAF7769" w14:textId="09C0A953" w:rsidR="00D248FF" w:rsidRPr="00B245FA"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15E934FE" w14:textId="77777777" w:rsidR="00D248FF" w:rsidRPr="009A32F8" w:rsidRDefault="009A32F8" w:rsidP="009A32F8">
            <w:r w:rsidRPr="009A32F8">
              <w:t xml:space="preserve">Across a range of reading comments make inferences based on evidence from different points in the text, </w:t>
            </w:r>
            <w:proofErr w:type="gramStart"/>
            <w:r w:rsidRPr="009A32F8">
              <w:t>e.g.</w:t>
            </w:r>
            <w:proofErr w:type="gramEnd"/>
            <w:r w:rsidRPr="009A32F8">
              <w:t xml:space="preserve"> interpreting a character’s motive from their actions at different points </w:t>
            </w:r>
          </w:p>
          <w:p w14:paraId="5884A6B9" w14:textId="0E2754B4" w:rsidR="009A32F8" w:rsidRPr="009A32F8" w:rsidRDefault="009A32F8" w:rsidP="009A32F8"/>
        </w:tc>
      </w:tr>
      <w:tr w:rsidR="00D248FF" w:rsidRPr="00B245FA" w14:paraId="4E0D80F6" w14:textId="77777777" w:rsidTr="004B7415">
        <w:trPr>
          <w:trHeight w:val="537"/>
        </w:trPr>
        <w:tc>
          <w:tcPr>
            <w:tcW w:w="1001" w:type="dxa"/>
          </w:tcPr>
          <w:p w14:paraId="1F9D7E3D" w14:textId="445C853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597FCE0D" w14:textId="748FD60B" w:rsidR="009A32F8" w:rsidRPr="009A32F8" w:rsidRDefault="009A32F8" w:rsidP="009A32F8">
            <w:r w:rsidRPr="009A32F8">
              <w:t xml:space="preserve">Across a range of reading some structural choices identified with simple comment, </w:t>
            </w:r>
            <w:proofErr w:type="gramStart"/>
            <w:r w:rsidRPr="009A32F8">
              <w:t>e.g.</w:t>
            </w:r>
            <w:proofErr w:type="gramEnd"/>
            <w:r w:rsidRPr="009A32F8">
              <w:t xml:space="preserve"> ‘he describes the accident first and then goes back to tell you why the child was in the road’ </w:t>
            </w:r>
          </w:p>
          <w:p w14:paraId="7800B430" w14:textId="1831A6B8" w:rsidR="00D248FF" w:rsidRPr="009A32F8" w:rsidRDefault="00D248FF" w:rsidP="004B7415">
            <w:pPr>
              <w:rPr>
                <w:rFonts w:ascii="Verdana" w:hAnsi="Verdana" w:cstheme="minorHAnsi"/>
                <w:color w:val="4472C4" w:themeColor="accent1"/>
              </w:rPr>
            </w:pPr>
          </w:p>
        </w:tc>
      </w:tr>
      <w:tr w:rsidR="00D248FF" w:rsidRPr="00B245FA" w14:paraId="5F8539E1" w14:textId="77777777" w:rsidTr="004B7415">
        <w:trPr>
          <w:trHeight w:val="537"/>
        </w:trPr>
        <w:tc>
          <w:tcPr>
            <w:tcW w:w="1001" w:type="dxa"/>
          </w:tcPr>
          <w:p w14:paraId="77192A04" w14:textId="29919F95" w:rsidR="00D248FF" w:rsidRPr="00B245FA" w:rsidRDefault="00D248FF" w:rsidP="004B7415">
            <w:pPr>
              <w:rPr>
                <w:rFonts w:ascii="Verdana" w:hAnsi="Verdana"/>
                <w:color w:val="002060"/>
                <w:sz w:val="24"/>
                <w:szCs w:val="24"/>
              </w:rPr>
            </w:pPr>
            <w:r>
              <w:rPr>
                <w:rFonts w:ascii="Verdana" w:hAnsi="Verdana"/>
                <w:color w:val="002060"/>
                <w:sz w:val="24"/>
                <w:szCs w:val="24"/>
              </w:rPr>
              <w:t>KO5</w:t>
            </w:r>
          </w:p>
        </w:tc>
        <w:tc>
          <w:tcPr>
            <w:tcW w:w="9293" w:type="dxa"/>
            <w:gridSpan w:val="4"/>
          </w:tcPr>
          <w:p w14:paraId="1EF90A6A" w14:textId="2EA29F35" w:rsidR="009A32F8" w:rsidRPr="009A32F8" w:rsidRDefault="009A32F8" w:rsidP="009A32F8">
            <w:r w:rsidRPr="009A32F8">
              <w:t xml:space="preserve">Across a range of reading some basic features of writer’s use of language identified, </w:t>
            </w:r>
            <w:proofErr w:type="gramStart"/>
            <w:r w:rsidRPr="009A32F8">
              <w:t>e.g.</w:t>
            </w:r>
            <w:proofErr w:type="gramEnd"/>
            <w:r w:rsidRPr="009A32F8">
              <w:t xml:space="preserve"> ‘all the questions make you want to find out what happens next’</w:t>
            </w:r>
          </w:p>
          <w:p w14:paraId="1B6DD4B1" w14:textId="43D59ECF" w:rsidR="00D248FF" w:rsidRPr="009A32F8" w:rsidRDefault="00D248FF" w:rsidP="004B7415">
            <w:pPr>
              <w:rPr>
                <w:rFonts w:ascii="Verdana" w:hAnsi="Verdana" w:cstheme="minorHAnsi"/>
                <w:color w:val="4472C4" w:themeColor="accent1"/>
              </w:rPr>
            </w:pPr>
          </w:p>
        </w:tc>
      </w:tr>
      <w:tr w:rsidR="00D248FF" w:rsidRPr="00B245FA" w14:paraId="6E33B8A5" w14:textId="77777777" w:rsidTr="004B7415">
        <w:trPr>
          <w:trHeight w:val="537"/>
        </w:trPr>
        <w:tc>
          <w:tcPr>
            <w:tcW w:w="1001" w:type="dxa"/>
          </w:tcPr>
          <w:p w14:paraId="23AB0FFA" w14:textId="70E05FA8" w:rsidR="00D248FF" w:rsidRPr="00B245FA" w:rsidRDefault="00AC088B" w:rsidP="004B7415">
            <w:pPr>
              <w:rPr>
                <w:rFonts w:ascii="Verdana" w:hAnsi="Verdana"/>
                <w:color w:val="002060"/>
                <w:sz w:val="24"/>
                <w:szCs w:val="24"/>
              </w:rPr>
            </w:pPr>
            <w:r>
              <w:rPr>
                <w:rFonts w:ascii="Verdana" w:hAnsi="Verdana"/>
                <w:color w:val="002060"/>
                <w:sz w:val="24"/>
                <w:szCs w:val="24"/>
              </w:rPr>
              <w:lastRenderedPageBreak/>
              <w:t>KO6</w:t>
            </w:r>
          </w:p>
        </w:tc>
        <w:tc>
          <w:tcPr>
            <w:tcW w:w="9293" w:type="dxa"/>
            <w:gridSpan w:val="4"/>
          </w:tcPr>
          <w:p w14:paraId="0010999C" w14:textId="026233EA" w:rsidR="009A32F8" w:rsidRPr="009A32F8" w:rsidRDefault="009A32F8" w:rsidP="009A32F8">
            <w:r w:rsidRPr="009A32F8">
              <w:t xml:space="preserve">Across a range of reading main purpose identified, </w:t>
            </w:r>
            <w:proofErr w:type="gramStart"/>
            <w:r w:rsidRPr="009A32F8">
              <w:t>e.g.</w:t>
            </w:r>
            <w:proofErr w:type="gramEnd"/>
            <w:r w:rsidRPr="009A32F8">
              <w:t xml:space="preserve"> ‘it’s all about why going to the dentist is important and how you should look after your teeth’ </w:t>
            </w:r>
          </w:p>
          <w:p w14:paraId="7490B319" w14:textId="753A4D5A" w:rsidR="00D248FF" w:rsidRPr="009A32F8" w:rsidRDefault="00D248FF" w:rsidP="004B7415">
            <w:pPr>
              <w:rPr>
                <w:rFonts w:ascii="Verdana" w:hAnsi="Verdana" w:cstheme="minorHAnsi"/>
                <w:color w:val="4472C4" w:themeColor="accent1"/>
              </w:rPr>
            </w:pPr>
          </w:p>
        </w:tc>
      </w:tr>
      <w:tr w:rsidR="00D248FF" w:rsidRPr="00B245FA" w14:paraId="707CE3C5" w14:textId="77777777" w:rsidTr="004B7415">
        <w:trPr>
          <w:trHeight w:val="537"/>
        </w:trPr>
        <w:tc>
          <w:tcPr>
            <w:tcW w:w="1001" w:type="dxa"/>
          </w:tcPr>
          <w:p w14:paraId="1341693D" w14:textId="77777777" w:rsidR="00D248FF" w:rsidRPr="00B245FA" w:rsidRDefault="00D248FF" w:rsidP="004B7415">
            <w:pPr>
              <w:rPr>
                <w:rFonts w:ascii="Verdana" w:hAnsi="Verdana"/>
                <w:color w:val="002060"/>
                <w:sz w:val="24"/>
                <w:szCs w:val="24"/>
              </w:rPr>
            </w:pPr>
          </w:p>
        </w:tc>
        <w:tc>
          <w:tcPr>
            <w:tcW w:w="9293" w:type="dxa"/>
            <w:gridSpan w:val="4"/>
          </w:tcPr>
          <w:p w14:paraId="29FCC06A" w14:textId="77777777" w:rsidR="00AC088B" w:rsidRDefault="00AC088B" w:rsidP="00AC088B">
            <w:pPr>
              <w:rPr>
                <w:rFonts w:ascii="Verdana" w:hAnsi="Verdana"/>
                <w:bCs/>
                <w:color w:val="002060"/>
                <w:sz w:val="24"/>
                <w:szCs w:val="24"/>
              </w:rPr>
            </w:pPr>
            <w:r>
              <w:rPr>
                <w:rFonts w:ascii="Verdana" w:hAnsi="Verdana"/>
                <w:bCs/>
                <w:color w:val="002060"/>
                <w:sz w:val="24"/>
                <w:szCs w:val="24"/>
              </w:rPr>
              <w:t>Writing:</w:t>
            </w:r>
          </w:p>
          <w:p w14:paraId="606E76F3" w14:textId="77777777" w:rsidR="00AC088B" w:rsidRDefault="00AC088B" w:rsidP="00AC088B">
            <w:pPr>
              <w:rPr>
                <w:rFonts w:ascii="Verdana" w:hAnsi="Verdana"/>
                <w:bCs/>
                <w:color w:val="002060"/>
                <w:sz w:val="24"/>
                <w:szCs w:val="24"/>
              </w:rPr>
            </w:pPr>
            <w:r>
              <w:rPr>
                <w:rFonts w:ascii="Verdana" w:hAnsi="Verdana"/>
                <w:bCs/>
                <w:color w:val="002060"/>
                <w:sz w:val="24"/>
                <w:szCs w:val="24"/>
              </w:rPr>
              <w:t>HT1: Creative</w:t>
            </w:r>
          </w:p>
          <w:p w14:paraId="4F6F00C2" w14:textId="08D63D52" w:rsidR="00D248FF" w:rsidRPr="005376C9" w:rsidRDefault="00AC088B" w:rsidP="00AC088B">
            <w:pPr>
              <w:rPr>
                <w:rFonts w:ascii="Verdana" w:hAnsi="Verdana"/>
                <w:color w:val="4472C4" w:themeColor="accent1"/>
                <w:sz w:val="24"/>
                <w:szCs w:val="24"/>
              </w:rPr>
            </w:pPr>
            <w:r>
              <w:rPr>
                <w:rFonts w:ascii="Verdana" w:hAnsi="Verdana"/>
                <w:bCs/>
                <w:color w:val="002060"/>
                <w:sz w:val="24"/>
                <w:szCs w:val="24"/>
              </w:rPr>
              <w:t>HT2: Writing to support talk</w:t>
            </w:r>
          </w:p>
        </w:tc>
      </w:tr>
      <w:tr w:rsidR="00D248FF" w:rsidRPr="00B245FA" w14:paraId="7E3033AF" w14:textId="77777777" w:rsidTr="004B7415">
        <w:trPr>
          <w:trHeight w:val="537"/>
        </w:trPr>
        <w:tc>
          <w:tcPr>
            <w:tcW w:w="1001" w:type="dxa"/>
          </w:tcPr>
          <w:p w14:paraId="6E3A2C3B" w14:textId="218B45D4" w:rsidR="00D248FF" w:rsidRPr="00B245FA" w:rsidRDefault="00D248FF" w:rsidP="004B7415">
            <w:pPr>
              <w:rPr>
                <w:rFonts w:ascii="Verdana" w:hAnsi="Verdana"/>
                <w:color w:val="002060"/>
                <w:sz w:val="24"/>
                <w:szCs w:val="24"/>
              </w:rPr>
            </w:pPr>
            <w:r>
              <w:rPr>
                <w:rFonts w:ascii="Verdana" w:hAnsi="Verdana"/>
                <w:color w:val="002060"/>
                <w:sz w:val="24"/>
                <w:szCs w:val="24"/>
              </w:rPr>
              <w:t>KO</w:t>
            </w:r>
            <w:r w:rsidR="00AC088B">
              <w:rPr>
                <w:rFonts w:ascii="Verdana" w:hAnsi="Verdana"/>
                <w:color w:val="002060"/>
                <w:sz w:val="24"/>
                <w:szCs w:val="24"/>
              </w:rPr>
              <w:t>1</w:t>
            </w:r>
          </w:p>
        </w:tc>
        <w:tc>
          <w:tcPr>
            <w:tcW w:w="9293" w:type="dxa"/>
            <w:gridSpan w:val="4"/>
          </w:tcPr>
          <w:p w14:paraId="679EB450" w14:textId="38EAC787" w:rsidR="00AC08FD" w:rsidRPr="00AC08FD" w:rsidRDefault="00AC08FD" w:rsidP="00AC08FD">
            <w:r w:rsidRPr="00AC08FD">
              <w:t>Across a range of writing relevant ideas and content chosen</w:t>
            </w:r>
          </w:p>
          <w:p w14:paraId="48BFB930" w14:textId="582500EA" w:rsidR="00D248FF" w:rsidRPr="00AC08FD" w:rsidRDefault="00D248FF" w:rsidP="00AC088B">
            <w:pPr>
              <w:rPr>
                <w:rFonts w:ascii="Verdana" w:hAnsi="Verdana" w:cstheme="minorHAnsi"/>
                <w:color w:val="4472C4" w:themeColor="accent1"/>
              </w:rPr>
            </w:pPr>
          </w:p>
        </w:tc>
      </w:tr>
      <w:tr w:rsidR="00D248FF" w:rsidRPr="00B245FA" w14:paraId="37EC62A7" w14:textId="77777777" w:rsidTr="004B7415">
        <w:trPr>
          <w:trHeight w:val="537"/>
        </w:trPr>
        <w:tc>
          <w:tcPr>
            <w:tcW w:w="1001" w:type="dxa"/>
          </w:tcPr>
          <w:p w14:paraId="691B62C9" w14:textId="2CA9EDA6" w:rsidR="00D248FF"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0758F32B" w14:textId="27C76DAA" w:rsidR="00AC08FD" w:rsidRPr="00AC08FD" w:rsidRDefault="00AC08FD" w:rsidP="00AC08FD">
            <w:r w:rsidRPr="00AC08FD">
              <w:t xml:space="preserve">Across a range of writing ideas organised by clustering related points or by time sequence </w:t>
            </w:r>
          </w:p>
          <w:p w14:paraId="5AA99CAC" w14:textId="5CF2C403" w:rsidR="00D248FF" w:rsidRPr="00AC08FD" w:rsidRDefault="00D248FF" w:rsidP="004B7415"/>
        </w:tc>
      </w:tr>
      <w:tr w:rsidR="00D248FF" w:rsidRPr="00B245FA" w14:paraId="23CC12AA" w14:textId="77777777" w:rsidTr="004B7415">
        <w:trPr>
          <w:trHeight w:val="537"/>
        </w:trPr>
        <w:tc>
          <w:tcPr>
            <w:tcW w:w="1001" w:type="dxa"/>
          </w:tcPr>
          <w:p w14:paraId="1A3BCB32" w14:textId="3728F35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43EC170F" w14:textId="2BCC905E" w:rsidR="00AC08FD" w:rsidRPr="00AC08FD" w:rsidRDefault="00AC08FD" w:rsidP="00AC08FD">
            <w:r w:rsidRPr="00AC08FD">
              <w:t xml:space="preserve">Across a range of writing paragraphs / sections help to organise content, </w:t>
            </w:r>
            <w:proofErr w:type="gramStart"/>
            <w:r w:rsidRPr="00AC08FD">
              <w:t>e.g.</w:t>
            </w:r>
            <w:proofErr w:type="gramEnd"/>
            <w:r w:rsidRPr="00AC08FD">
              <w:t xml:space="preserve"> main idea usually supported or elaborated by following sentences </w:t>
            </w:r>
          </w:p>
          <w:p w14:paraId="02EEF224" w14:textId="68569BFA" w:rsidR="00D248FF" w:rsidRPr="00AC08FD" w:rsidRDefault="00D248FF" w:rsidP="004B7415"/>
        </w:tc>
      </w:tr>
      <w:tr w:rsidR="00D248FF" w:rsidRPr="00B245FA" w14:paraId="521ECCD4" w14:textId="77777777" w:rsidTr="004B7415">
        <w:trPr>
          <w:trHeight w:val="537"/>
        </w:trPr>
        <w:tc>
          <w:tcPr>
            <w:tcW w:w="1001" w:type="dxa"/>
          </w:tcPr>
          <w:p w14:paraId="64B80CB5" w14:textId="5A15EF15" w:rsidR="00D248FF" w:rsidRDefault="00AC088B" w:rsidP="004B7415">
            <w:pPr>
              <w:rPr>
                <w:rFonts w:ascii="Verdana" w:hAnsi="Verdana"/>
                <w:color w:val="002060"/>
                <w:sz w:val="24"/>
                <w:szCs w:val="24"/>
              </w:rPr>
            </w:pPr>
            <w:r>
              <w:rPr>
                <w:rFonts w:ascii="Verdana" w:hAnsi="Verdana"/>
                <w:color w:val="002060"/>
                <w:sz w:val="24"/>
                <w:szCs w:val="24"/>
              </w:rPr>
              <w:t>KO5</w:t>
            </w:r>
          </w:p>
        </w:tc>
        <w:tc>
          <w:tcPr>
            <w:tcW w:w="9293" w:type="dxa"/>
            <w:gridSpan w:val="4"/>
          </w:tcPr>
          <w:p w14:paraId="06EDEABC" w14:textId="7CA256D2" w:rsidR="00AC08FD" w:rsidRPr="00AC08FD" w:rsidRDefault="00AC08FD" w:rsidP="00AC08FD">
            <w:r w:rsidRPr="00AC08FD">
              <w:t xml:space="preserve">Across a range of writing some variety in length, structure or subject of sentences </w:t>
            </w:r>
          </w:p>
          <w:p w14:paraId="03CC5D2A" w14:textId="57B30B53" w:rsidR="00D248FF" w:rsidRPr="00AC08FD" w:rsidRDefault="00D248FF" w:rsidP="004B7415">
            <w:pPr>
              <w:tabs>
                <w:tab w:val="left" w:pos="1830"/>
              </w:tabs>
            </w:pPr>
          </w:p>
        </w:tc>
      </w:tr>
      <w:tr w:rsidR="00AC088B" w:rsidRPr="00B245FA" w14:paraId="3AECCFFA" w14:textId="77777777" w:rsidTr="004B7415">
        <w:trPr>
          <w:trHeight w:val="537"/>
        </w:trPr>
        <w:tc>
          <w:tcPr>
            <w:tcW w:w="1001" w:type="dxa"/>
          </w:tcPr>
          <w:p w14:paraId="4D0B5010" w14:textId="5BAD107A" w:rsidR="00AC088B" w:rsidRDefault="00AC088B" w:rsidP="00AC088B">
            <w:pPr>
              <w:rPr>
                <w:rFonts w:ascii="Verdana" w:hAnsi="Verdana"/>
                <w:color w:val="002060"/>
                <w:sz w:val="24"/>
                <w:szCs w:val="24"/>
              </w:rPr>
            </w:pPr>
            <w:r>
              <w:rPr>
                <w:rFonts w:ascii="Verdana" w:hAnsi="Verdana"/>
                <w:color w:val="002060"/>
                <w:sz w:val="24"/>
                <w:szCs w:val="24"/>
              </w:rPr>
              <w:t>KO7</w:t>
            </w:r>
          </w:p>
        </w:tc>
        <w:tc>
          <w:tcPr>
            <w:tcW w:w="9293" w:type="dxa"/>
            <w:gridSpan w:val="4"/>
          </w:tcPr>
          <w:p w14:paraId="6672ED3E" w14:textId="4A2E7F8D" w:rsidR="00AC08FD" w:rsidRPr="00AC08FD" w:rsidRDefault="00AC08FD" w:rsidP="00AC08FD">
            <w:r w:rsidRPr="00AC08FD">
              <w:t xml:space="preserve">Across a range of writing some evidence of deliberate vocabulary choices </w:t>
            </w:r>
          </w:p>
          <w:p w14:paraId="460B4F44" w14:textId="5DAAAD72" w:rsidR="00AC088B" w:rsidRPr="00AC08FD" w:rsidRDefault="00AC088B" w:rsidP="00AC088B">
            <w:pPr>
              <w:tabs>
                <w:tab w:val="left" w:pos="1830"/>
              </w:tabs>
            </w:pPr>
          </w:p>
        </w:tc>
      </w:tr>
    </w:tbl>
    <w:p w14:paraId="3410A196" w14:textId="77777777" w:rsidR="009B40F6" w:rsidRDefault="009B40F6">
      <w:pPr>
        <w:rPr>
          <w:rFonts w:ascii="Verdana" w:hAnsi="Verdana"/>
          <w:color w:val="002060"/>
          <w:sz w:val="24"/>
          <w:szCs w:val="24"/>
        </w:rPr>
      </w:pPr>
    </w:p>
    <w:p w14:paraId="4D50AA4D" w14:textId="7D13D3E0" w:rsidR="00C96B26"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381" w:type="dxa"/>
        <w:tblLook w:val="04A0" w:firstRow="1" w:lastRow="0" w:firstColumn="1" w:lastColumn="0" w:noHBand="0" w:noVBand="1"/>
      </w:tblPr>
      <w:tblGrid>
        <w:gridCol w:w="1472"/>
        <w:gridCol w:w="1470"/>
        <w:gridCol w:w="1474"/>
        <w:gridCol w:w="1466"/>
        <w:gridCol w:w="1478"/>
        <w:gridCol w:w="2021"/>
      </w:tblGrid>
      <w:tr w:rsidR="009A32F8" w:rsidRPr="00B245FA" w14:paraId="2EC2EB80" w14:textId="77777777" w:rsidTr="009A32F8">
        <w:tc>
          <w:tcPr>
            <w:tcW w:w="1472" w:type="dxa"/>
          </w:tcPr>
          <w:p w14:paraId="732688FB" w14:textId="46A4F35A" w:rsidR="009A32F8" w:rsidRPr="00B245FA" w:rsidRDefault="009A32F8" w:rsidP="009A32F8">
            <w:pPr>
              <w:rPr>
                <w:rFonts w:ascii="Verdana" w:hAnsi="Verdana"/>
                <w:color w:val="002060"/>
                <w:sz w:val="24"/>
                <w:szCs w:val="24"/>
              </w:rPr>
            </w:pPr>
            <w:r w:rsidRPr="00C274E9">
              <w:rPr>
                <w:rFonts w:ascii="Verdana" w:hAnsi="Verdana"/>
                <w:color w:val="002060"/>
              </w:rPr>
              <w:t>Exposition</w:t>
            </w:r>
          </w:p>
        </w:tc>
        <w:tc>
          <w:tcPr>
            <w:tcW w:w="1470" w:type="dxa"/>
          </w:tcPr>
          <w:p w14:paraId="2861F1C2" w14:textId="4118A208" w:rsidR="009A32F8" w:rsidRPr="00B245FA" w:rsidRDefault="009A32F8" w:rsidP="009A32F8">
            <w:pPr>
              <w:rPr>
                <w:rFonts w:ascii="Verdana" w:hAnsi="Verdana"/>
                <w:color w:val="002060"/>
                <w:sz w:val="24"/>
                <w:szCs w:val="24"/>
              </w:rPr>
            </w:pPr>
            <w:r w:rsidRPr="00C274E9">
              <w:rPr>
                <w:rFonts w:ascii="Verdana" w:hAnsi="Verdana"/>
                <w:color w:val="002060"/>
              </w:rPr>
              <w:t>Climax</w:t>
            </w:r>
          </w:p>
        </w:tc>
        <w:tc>
          <w:tcPr>
            <w:tcW w:w="1474" w:type="dxa"/>
          </w:tcPr>
          <w:p w14:paraId="50845A98" w14:textId="690CDAAE" w:rsidR="009A32F8" w:rsidRPr="00B245FA" w:rsidRDefault="009A32F8" w:rsidP="009A32F8">
            <w:pPr>
              <w:rPr>
                <w:rFonts w:ascii="Verdana" w:hAnsi="Verdana"/>
                <w:color w:val="002060"/>
                <w:sz w:val="24"/>
                <w:szCs w:val="24"/>
              </w:rPr>
            </w:pPr>
            <w:r w:rsidRPr="00C274E9">
              <w:rPr>
                <w:rFonts w:ascii="Verdana" w:hAnsi="Verdana"/>
                <w:color w:val="002060"/>
              </w:rPr>
              <w:t>Resolution</w:t>
            </w:r>
          </w:p>
        </w:tc>
        <w:tc>
          <w:tcPr>
            <w:tcW w:w="1466" w:type="dxa"/>
          </w:tcPr>
          <w:p w14:paraId="00945F20" w14:textId="2D2E33E2" w:rsidR="009A32F8" w:rsidRPr="00B245FA" w:rsidRDefault="009A32F8" w:rsidP="009A32F8">
            <w:pPr>
              <w:rPr>
                <w:rFonts w:ascii="Verdana" w:hAnsi="Verdana"/>
                <w:color w:val="002060"/>
                <w:sz w:val="24"/>
                <w:szCs w:val="24"/>
              </w:rPr>
            </w:pPr>
            <w:r w:rsidRPr="00C274E9">
              <w:rPr>
                <w:rFonts w:ascii="Verdana" w:hAnsi="Verdana"/>
                <w:color w:val="002060"/>
              </w:rPr>
              <w:t>Structure</w:t>
            </w:r>
          </w:p>
        </w:tc>
        <w:tc>
          <w:tcPr>
            <w:tcW w:w="1478" w:type="dxa"/>
          </w:tcPr>
          <w:p w14:paraId="5712034C" w14:textId="60892371" w:rsidR="009A32F8" w:rsidRPr="00B245FA" w:rsidRDefault="009A32F8" w:rsidP="009A32F8">
            <w:pPr>
              <w:rPr>
                <w:rFonts w:ascii="Verdana" w:hAnsi="Verdana"/>
                <w:color w:val="002060"/>
                <w:sz w:val="24"/>
                <w:szCs w:val="24"/>
              </w:rPr>
            </w:pPr>
            <w:r w:rsidRPr="00C274E9">
              <w:rPr>
                <w:rFonts w:ascii="Verdana" w:hAnsi="Verdana"/>
                <w:color w:val="002060"/>
              </w:rPr>
              <w:t>Dystopia</w:t>
            </w:r>
          </w:p>
        </w:tc>
        <w:tc>
          <w:tcPr>
            <w:tcW w:w="2021" w:type="dxa"/>
          </w:tcPr>
          <w:p w14:paraId="69156F0C" w14:textId="082184B0" w:rsidR="009A32F8" w:rsidRPr="00B245FA" w:rsidRDefault="009A32F8" w:rsidP="009A32F8">
            <w:pPr>
              <w:rPr>
                <w:rFonts w:ascii="Verdana" w:hAnsi="Verdana"/>
                <w:color w:val="002060"/>
                <w:sz w:val="24"/>
                <w:szCs w:val="24"/>
              </w:rPr>
            </w:pPr>
            <w:r w:rsidRPr="00C274E9">
              <w:rPr>
                <w:rFonts w:ascii="Verdana" w:hAnsi="Verdana"/>
                <w:color w:val="002060"/>
              </w:rPr>
              <w:t xml:space="preserve">Setting </w:t>
            </w:r>
          </w:p>
        </w:tc>
      </w:tr>
      <w:tr w:rsidR="009A32F8" w:rsidRPr="00B245FA" w14:paraId="0CFA8740" w14:textId="77777777" w:rsidTr="009A32F8">
        <w:tc>
          <w:tcPr>
            <w:tcW w:w="1472" w:type="dxa"/>
          </w:tcPr>
          <w:p w14:paraId="45166591" w14:textId="08EC173A" w:rsidR="009A32F8" w:rsidRPr="00B245FA" w:rsidRDefault="009A32F8" w:rsidP="009A32F8">
            <w:pPr>
              <w:rPr>
                <w:rFonts w:ascii="Verdana" w:hAnsi="Verdana"/>
                <w:color w:val="002060"/>
                <w:sz w:val="24"/>
                <w:szCs w:val="24"/>
              </w:rPr>
            </w:pPr>
            <w:r w:rsidRPr="00C274E9">
              <w:rPr>
                <w:rFonts w:ascii="Verdana" w:hAnsi="Verdana"/>
                <w:color w:val="002060"/>
              </w:rPr>
              <w:t>Imagery</w:t>
            </w:r>
          </w:p>
        </w:tc>
        <w:tc>
          <w:tcPr>
            <w:tcW w:w="1470" w:type="dxa"/>
          </w:tcPr>
          <w:p w14:paraId="07433B2E" w14:textId="6443C3E4" w:rsidR="009A32F8" w:rsidRPr="00B245FA" w:rsidRDefault="009A32F8" w:rsidP="009A32F8">
            <w:pPr>
              <w:rPr>
                <w:rFonts w:ascii="Verdana" w:hAnsi="Verdana"/>
                <w:color w:val="002060"/>
                <w:sz w:val="24"/>
                <w:szCs w:val="24"/>
              </w:rPr>
            </w:pPr>
            <w:r w:rsidRPr="00C274E9">
              <w:rPr>
                <w:rFonts w:ascii="Verdana" w:hAnsi="Verdana"/>
                <w:color w:val="002060"/>
              </w:rPr>
              <w:t>Figurative</w:t>
            </w:r>
          </w:p>
        </w:tc>
        <w:tc>
          <w:tcPr>
            <w:tcW w:w="1474" w:type="dxa"/>
          </w:tcPr>
          <w:p w14:paraId="3941FC79" w14:textId="16BEE808" w:rsidR="009A32F8" w:rsidRPr="00B245FA" w:rsidRDefault="009A32F8" w:rsidP="009A32F8">
            <w:pPr>
              <w:rPr>
                <w:rFonts w:ascii="Verdana" w:hAnsi="Verdana"/>
                <w:color w:val="002060"/>
                <w:sz w:val="24"/>
                <w:szCs w:val="24"/>
              </w:rPr>
            </w:pPr>
            <w:r w:rsidRPr="00C274E9">
              <w:rPr>
                <w:rFonts w:ascii="Verdana" w:hAnsi="Verdana"/>
                <w:color w:val="002060"/>
              </w:rPr>
              <w:t>Hook</w:t>
            </w:r>
          </w:p>
        </w:tc>
        <w:tc>
          <w:tcPr>
            <w:tcW w:w="1466" w:type="dxa"/>
          </w:tcPr>
          <w:p w14:paraId="337F809B" w14:textId="34D84B75" w:rsidR="009A32F8" w:rsidRPr="00B245FA" w:rsidRDefault="009A32F8" w:rsidP="009A32F8">
            <w:pPr>
              <w:rPr>
                <w:rFonts w:ascii="Verdana" w:hAnsi="Verdana"/>
                <w:color w:val="002060"/>
                <w:sz w:val="24"/>
                <w:szCs w:val="24"/>
              </w:rPr>
            </w:pPr>
            <w:r w:rsidRPr="00C274E9">
              <w:rPr>
                <w:rFonts w:ascii="Verdana" w:hAnsi="Verdana"/>
                <w:color w:val="002060"/>
              </w:rPr>
              <w:t>Cohesion</w:t>
            </w:r>
          </w:p>
        </w:tc>
        <w:tc>
          <w:tcPr>
            <w:tcW w:w="1478" w:type="dxa"/>
          </w:tcPr>
          <w:p w14:paraId="3D757B32" w14:textId="68D38518" w:rsidR="009A32F8" w:rsidRPr="00B245FA" w:rsidRDefault="009A32F8" w:rsidP="009A32F8">
            <w:pPr>
              <w:rPr>
                <w:rFonts w:ascii="Verdana" w:hAnsi="Verdana"/>
                <w:color w:val="002060"/>
                <w:sz w:val="24"/>
                <w:szCs w:val="24"/>
              </w:rPr>
            </w:pPr>
            <w:r w:rsidRPr="00C274E9">
              <w:rPr>
                <w:rFonts w:ascii="Verdana" w:hAnsi="Verdana"/>
                <w:color w:val="002060"/>
              </w:rPr>
              <w:t>Symbolism</w:t>
            </w:r>
          </w:p>
        </w:tc>
        <w:tc>
          <w:tcPr>
            <w:tcW w:w="2021" w:type="dxa"/>
          </w:tcPr>
          <w:p w14:paraId="5F04128A" w14:textId="15A5CF66" w:rsidR="009A32F8" w:rsidRPr="00B245FA" w:rsidRDefault="009A32F8" w:rsidP="009A32F8">
            <w:pPr>
              <w:rPr>
                <w:rFonts w:ascii="Verdana" w:hAnsi="Verdana"/>
                <w:color w:val="002060"/>
                <w:sz w:val="24"/>
                <w:szCs w:val="24"/>
              </w:rPr>
            </w:pPr>
            <w:r w:rsidRPr="00C274E9">
              <w:rPr>
                <w:rFonts w:ascii="Verdana" w:hAnsi="Verdana"/>
                <w:color w:val="002060"/>
              </w:rPr>
              <w:t>Characterisation</w:t>
            </w:r>
          </w:p>
        </w:tc>
      </w:tr>
      <w:tr w:rsidR="009A32F8" w:rsidRPr="00B245FA" w14:paraId="31BAA7E4" w14:textId="77777777" w:rsidTr="009A32F8">
        <w:tc>
          <w:tcPr>
            <w:tcW w:w="1472" w:type="dxa"/>
          </w:tcPr>
          <w:p w14:paraId="7E447CD1" w14:textId="15124231" w:rsidR="009A32F8" w:rsidRPr="00B245FA" w:rsidRDefault="009A32F8" w:rsidP="009A32F8">
            <w:pPr>
              <w:rPr>
                <w:rFonts w:ascii="Verdana" w:hAnsi="Verdana"/>
                <w:color w:val="002060"/>
                <w:sz w:val="24"/>
                <w:szCs w:val="24"/>
              </w:rPr>
            </w:pPr>
            <w:r w:rsidRPr="00575C58">
              <w:rPr>
                <w:rFonts w:ascii="Verdana" w:hAnsi="Verdana"/>
                <w:color w:val="002060"/>
              </w:rPr>
              <w:t>Stage directions</w:t>
            </w:r>
          </w:p>
        </w:tc>
        <w:tc>
          <w:tcPr>
            <w:tcW w:w="1470" w:type="dxa"/>
          </w:tcPr>
          <w:p w14:paraId="247565D9" w14:textId="788205DF" w:rsidR="009A32F8" w:rsidRPr="00B245FA" w:rsidRDefault="009A32F8" w:rsidP="009A32F8">
            <w:pPr>
              <w:rPr>
                <w:rFonts w:ascii="Verdana" w:hAnsi="Verdana"/>
                <w:color w:val="002060"/>
                <w:sz w:val="24"/>
                <w:szCs w:val="24"/>
              </w:rPr>
            </w:pPr>
            <w:r w:rsidRPr="00575C58">
              <w:rPr>
                <w:rFonts w:ascii="Verdana" w:hAnsi="Verdana"/>
                <w:color w:val="002060"/>
              </w:rPr>
              <w:t>Tone</w:t>
            </w:r>
          </w:p>
        </w:tc>
        <w:tc>
          <w:tcPr>
            <w:tcW w:w="1474" w:type="dxa"/>
          </w:tcPr>
          <w:p w14:paraId="46D0FC7D" w14:textId="2F28456E" w:rsidR="009A32F8" w:rsidRPr="00B245FA" w:rsidRDefault="009A32F8" w:rsidP="009A32F8">
            <w:pPr>
              <w:rPr>
                <w:rFonts w:ascii="Verdana" w:hAnsi="Verdana"/>
                <w:color w:val="002060"/>
                <w:sz w:val="24"/>
                <w:szCs w:val="24"/>
              </w:rPr>
            </w:pPr>
            <w:r w:rsidRPr="00575C58">
              <w:rPr>
                <w:rFonts w:ascii="Verdana" w:hAnsi="Verdana"/>
                <w:color w:val="002060"/>
              </w:rPr>
              <w:t>Dramatic irony</w:t>
            </w:r>
          </w:p>
        </w:tc>
        <w:tc>
          <w:tcPr>
            <w:tcW w:w="1466" w:type="dxa"/>
          </w:tcPr>
          <w:p w14:paraId="5A732C43" w14:textId="36FC6BE5" w:rsidR="009A32F8" w:rsidRPr="00B245FA" w:rsidRDefault="009A32F8" w:rsidP="009A32F8">
            <w:pPr>
              <w:rPr>
                <w:rFonts w:ascii="Verdana" w:hAnsi="Verdana"/>
                <w:color w:val="002060"/>
                <w:sz w:val="24"/>
                <w:szCs w:val="24"/>
              </w:rPr>
            </w:pPr>
            <w:r w:rsidRPr="00575C58">
              <w:rPr>
                <w:rFonts w:ascii="Verdana" w:hAnsi="Verdana"/>
                <w:color w:val="002060"/>
              </w:rPr>
              <w:t>Audience</w:t>
            </w:r>
          </w:p>
        </w:tc>
        <w:tc>
          <w:tcPr>
            <w:tcW w:w="1478" w:type="dxa"/>
          </w:tcPr>
          <w:p w14:paraId="0F75F2EA" w14:textId="0CC40F5B" w:rsidR="009A32F8" w:rsidRPr="00B245FA" w:rsidRDefault="009A32F8" w:rsidP="009A32F8">
            <w:pPr>
              <w:rPr>
                <w:rFonts w:ascii="Verdana" w:hAnsi="Verdana"/>
                <w:color w:val="002060"/>
                <w:sz w:val="24"/>
                <w:szCs w:val="24"/>
              </w:rPr>
            </w:pPr>
            <w:r w:rsidRPr="00575C58">
              <w:rPr>
                <w:rFonts w:ascii="Verdana" w:hAnsi="Verdana"/>
                <w:color w:val="002060"/>
              </w:rPr>
              <w:t>Speaker</w:t>
            </w:r>
          </w:p>
        </w:tc>
        <w:tc>
          <w:tcPr>
            <w:tcW w:w="2021" w:type="dxa"/>
          </w:tcPr>
          <w:p w14:paraId="3AF4B60D" w14:textId="588DBD65" w:rsidR="009A32F8" w:rsidRPr="00B245FA" w:rsidRDefault="009A32F8" w:rsidP="009A32F8">
            <w:pPr>
              <w:rPr>
                <w:rFonts w:ascii="Verdana" w:hAnsi="Verdana"/>
                <w:color w:val="002060"/>
                <w:sz w:val="24"/>
                <w:szCs w:val="24"/>
              </w:rPr>
            </w:pPr>
            <w:r w:rsidRPr="00575C58">
              <w:rPr>
                <w:rFonts w:ascii="Verdana" w:hAnsi="Verdana"/>
                <w:color w:val="002060"/>
              </w:rPr>
              <w:t>Paralinguistic</w:t>
            </w:r>
          </w:p>
        </w:tc>
      </w:tr>
    </w:tbl>
    <w:p w14:paraId="4C6EDAD9" w14:textId="36B2564F" w:rsidR="00AC08FD" w:rsidRDefault="00AC08FD">
      <w:pPr>
        <w:rPr>
          <w:rFonts w:ascii="Verdana" w:hAnsi="Verdana"/>
          <w:color w:val="002060"/>
          <w:sz w:val="24"/>
          <w:szCs w:val="24"/>
        </w:rPr>
      </w:pPr>
    </w:p>
    <w:p w14:paraId="72A5ECE3" w14:textId="77777777" w:rsidR="00EA6E24" w:rsidRDefault="00EA6E24">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175" w:type="dxa"/>
        <w:tblLook w:val="04A0" w:firstRow="1" w:lastRow="0" w:firstColumn="1" w:lastColumn="0" w:noHBand="0" w:noVBand="1"/>
      </w:tblPr>
      <w:tblGrid>
        <w:gridCol w:w="9175"/>
      </w:tblGrid>
      <w:tr w:rsidR="00AC08FD" w:rsidRPr="00B245FA" w14:paraId="23BE0C66" w14:textId="77777777" w:rsidTr="000A706B">
        <w:trPr>
          <w:trHeight w:val="4678"/>
        </w:trPr>
        <w:tc>
          <w:tcPr>
            <w:tcW w:w="9175" w:type="dxa"/>
          </w:tcPr>
          <w:p w14:paraId="0E0C5534" w14:textId="77777777" w:rsidR="00AC08FD" w:rsidRDefault="00AC08FD" w:rsidP="000A706B">
            <w:pPr>
              <w:shd w:val="clear" w:color="auto" w:fill="FFFFFF"/>
              <w:spacing w:before="240" w:after="120"/>
              <w:ind w:left="2160"/>
              <w:outlineLvl w:val="3"/>
              <w:rPr>
                <w:rFonts w:ascii="Verdana" w:eastAsia="Times New Roman" w:hAnsi="Verdana" w:cs="Times New Roman"/>
                <w:color w:val="002060"/>
                <w:sz w:val="24"/>
                <w:szCs w:val="24"/>
                <w:lang w:eastAsia="en-GB"/>
              </w:rPr>
            </w:pPr>
            <w:r w:rsidRPr="00A65257">
              <w:rPr>
                <w:rFonts w:ascii="Verdana" w:eastAsia="Times New Roman" w:hAnsi="Verdana" w:cs="Times New Roman"/>
                <w:noProof/>
                <w:color w:val="002060"/>
                <w:sz w:val="24"/>
                <w:szCs w:val="24"/>
                <w:lang w:eastAsia="en-GB"/>
              </w:rPr>
              <w:drawing>
                <wp:anchor distT="0" distB="0" distL="114300" distR="114300" simplePos="0" relativeHeight="251659264" behindDoc="0" locked="0" layoutInCell="1" allowOverlap="1" wp14:anchorId="4CEE6A23" wp14:editId="716AACAF">
                  <wp:simplePos x="0" y="0"/>
                  <wp:positionH relativeFrom="column">
                    <wp:posOffset>80645</wp:posOffset>
                  </wp:positionH>
                  <wp:positionV relativeFrom="paragraph">
                    <wp:posOffset>149860</wp:posOffset>
                  </wp:positionV>
                  <wp:extent cx="930637" cy="1190625"/>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936523" cy="1198156"/>
                          </a:xfrm>
                          <a:prstGeom prst="rect">
                            <a:avLst/>
                          </a:prstGeom>
                        </pic:spPr>
                      </pic:pic>
                    </a:graphicData>
                  </a:graphic>
                  <wp14:sizeRelH relativeFrom="margin">
                    <wp14:pctWidth>0</wp14:pctWidth>
                  </wp14:sizeRelH>
                  <wp14:sizeRelV relativeFrom="margin">
                    <wp14:pctHeight>0</wp14:pctHeight>
                  </wp14:sizeRelV>
                </wp:anchor>
              </w:drawing>
            </w:r>
            <w:r>
              <w:rPr>
                <w:rFonts w:ascii="Verdana" w:eastAsia="Times New Roman" w:hAnsi="Verdana" w:cs="Times New Roman"/>
                <w:color w:val="002060"/>
                <w:sz w:val="24"/>
                <w:szCs w:val="24"/>
                <w:lang w:eastAsia="en-GB"/>
              </w:rPr>
              <w:t>Fahrenheit 451 by Ray Bradbury</w:t>
            </w:r>
          </w:p>
          <w:p w14:paraId="0A2D59AD" w14:textId="77777777" w:rsidR="00AC08FD" w:rsidRPr="0023484F" w:rsidRDefault="00AC08FD" w:rsidP="000A706B">
            <w:pPr>
              <w:shd w:val="clear" w:color="auto" w:fill="FFFFFF"/>
              <w:spacing w:before="240" w:after="120"/>
              <w:ind w:left="2160"/>
              <w:outlineLvl w:val="3"/>
              <w:rPr>
                <w:rFonts w:ascii="Verdana" w:eastAsia="Times New Roman" w:hAnsi="Verdana" w:cs="Times New Roman"/>
                <w:i/>
                <w:iCs/>
                <w:lang w:eastAsia="en-GB"/>
              </w:rPr>
            </w:pPr>
            <w:r>
              <w:rPr>
                <w:rFonts w:ascii="Verdana" w:hAnsi="Verdana" w:cs="Arial"/>
                <w:color w:val="231F20"/>
                <w:shd w:val="clear" w:color="auto" w:fill="FFFFFF"/>
              </w:rPr>
              <w:t>Fahrenheit 451 is a dystopian novel which presents a future society in which books have been personified and outlawed and ‘firemen’ burn any that are found.</w:t>
            </w:r>
          </w:p>
          <w:p w14:paraId="08D5F4A7" w14:textId="77777777" w:rsidR="00AC08FD" w:rsidRDefault="00AC08FD" w:rsidP="000A706B">
            <w:pPr>
              <w:shd w:val="clear" w:color="auto" w:fill="FFFFFF"/>
              <w:spacing w:before="240" w:after="120"/>
              <w:outlineLvl w:val="3"/>
              <w:rPr>
                <w:rFonts w:ascii="Verdana" w:eastAsia="Times New Roman" w:hAnsi="Verdana" w:cs="Times New Roman"/>
                <w:i/>
                <w:iCs/>
                <w:color w:val="002060"/>
                <w:sz w:val="24"/>
                <w:szCs w:val="24"/>
                <w:lang w:eastAsia="en-GB"/>
              </w:rPr>
            </w:pPr>
          </w:p>
          <w:p w14:paraId="131763FE" w14:textId="77777777" w:rsidR="00AC08FD" w:rsidRDefault="00AC08FD" w:rsidP="000A706B">
            <w:pPr>
              <w:shd w:val="clear" w:color="auto" w:fill="FFFFFF"/>
              <w:tabs>
                <w:tab w:val="left" w:pos="1975"/>
              </w:tabs>
              <w:spacing w:before="240" w:after="120"/>
              <w:ind w:left="2160"/>
              <w:outlineLvl w:val="3"/>
              <w:rPr>
                <w:rFonts w:ascii="Verdana" w:eastAsia="Times New Roman" w:hAnsi="Verdana" w:cs="Times New Roman"/>
                <w:color w:val="002060"/>
                <w:sz w:val="24"/>
                <w:szCs w:val="24"/>
                <w:lang w:eastAsia="en-GB"/>
              </w:rPr>
            </w:pPr>
            <w:r w:rsidRPr="00A65257">
              <w:rPr>
                <w:rFonts w:ascii="Verdana" w:eastAsia="Times New Roman" w:hAnsi="Verdana" w:cs="Times New Roman"/>
                <w:i/>
                <w:iCs/>
                <w:noProof/>
                <w:color w:val="002060"/>
                <w:sz w:val="24"/>
                <w:szCs w:val="24"/>
                <w:lang w:eastAsia="en-GB"/>
              </w:rPr>
              <w:drawing>
                <wp:anchor distT="0" distB="0" distL="114300" distR="114300" simplePos="0" relativeHeight="251660288" behindDoc="0" locked="0" layoutInCell="1" allowOverlap="1" wp14:anchorId="246FABF7" wp14:editId="6B24D5E7">
                  <wp:simplePos x="0" y="0"/>
                  <wp:positionH relativeFrom="column">
                    <wp:posOffset>90170</wp:posOffset>
                  </wp:positionH>
                  <wp:positionV relativeFrom="paragraph">
                    <wp:posOffset>137160</wp:posOffset>
                  </wp:positionV>
                  <wp:extent cx="942975" cy="1370330"/>
                  <wp:effectExtent l="0" t="0" r="9525"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42975" cy="1370330"/>
                          </a:xfrm>
                          <a:prstGeom prst="rect">
                            <a:avLst/>
                          </a:prstGeom>
                        </pic:spPr>
                      </pic:pic>
                    </a:graphicData>
                  </a:graphic>
                  <wp14:sizeRelH relativeFrom="margin">
                    <wp14:pctWidth>0</wp14:pctWidth>
                  </wp14:sizeRelH>
                </wp:anchor>
              </w:drawing>
            </w:r>
            <w:r>
              <w:rPr>
                <w:rFonts w:ascii="Verdana" w:eastAsia="Times New Roman" w:hAnsi="Verdana" w:cs="Times New Roman"/>
                <w:color w:val="002060"/>
                <w:sz w:val="24"/>
                <w:szCs w:val="24"/>
                <w:lang w:eastAsia="en-GB"/>
              </w:rPr>
              <w:t>An Inspector Calls by J.B. Priestly</w:t>
            </w:r>
          </w:p>
          <w:p w14:paraId="0363B908" w14:textId="77777777" w:rsidR="00AC08FD" w:rsidRPr="00B245FA" w:rsidRDefault="00AC08FD" w:rsidP="000A706B">
            <w:pPr>
              <w:shd w:val="clear" w:color="auto" w:fill="FFFFFF"/>
              <w:tabs>
                <w:tab w:val="left" w:pos="1975"/>
              </w:tabs>
              <w:spacing w:before="240" w:after="120"/>
              <w:ind w:left="2160"/>
              <w:outlineLvl w:val="3"/>
              <w:rPr>
                <w:rFonts w:ascii="Verdana" w:eastAsia="Times New Roman" w:hAnsi="Verdana" w:cs="Times New Roman"/>
                <w:i/>
                <w:iCs/>
                <w:color w:val="002060"/>
                <w:sz w:val="24"/>
                <w:szCs w:val="24"/>
                <w:lang w:eastAsia="en-GB"/>
              </w:rPr>
            </w:pPr>
            <w:r>
              <w:rPr>
                <w:rFonts w:ascii="Verdana" w:hAnsi="Verdana" w:cs="Arial"/>
                <w:color w:val="231F20"/>
                <w:shd w:val="clear" w:color="auto" w:fill="FFFFFF"/>
              </w:rPr>
              <w:t>An Inspector Calls is a 1945 play focussing on the prosperous Birling family who live a comfortable, upper middle-class life. They are visited one evening by Inspector Goole who questions them about the suicide of a young working-class girl.</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7B69"/>
    <w:multiLevelType w:val="hybridMultilevel"/>
    <w:tmpl w:val="86701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E6CDC"/>
    <w:multiLevelType w:val="hybridMultilevel"/>
    <w:tmpl w:val="0C58F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765CF"/>
    <w:multiLevelType w:val="hybridMultilevel"/>
    <w:tmpl w:val="E526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D08D9"/>
    <w:multiLevelType w:val="hybridMultilevel"/>
    <w:tmpl w:val="32266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332DB6"/>
    <w:multiLevelType w:val="hybridMultilevel"/>
    <w:tmpl w:val="8CFC4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F41A6"/>
    <w:multiLevelType w:val="hybridMultilevel"/>
    <w:tmpl w:val="0204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1C507B"/>
    <w:multiLevelType w:val="hybridMultilevel"/>
    <w:tmpl w:val="6B9E1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112046"/>
    <w:multiLevelType w:val="hybridMultilevel"/>
    <w:tmpl w:val="C904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EA1D26"/>
    <w:multiLevelType w:val="hybridMultilevel"/>
    <w:tmpl w:val="EEEED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ED705E"/>
    <w:multiLevelType w:val="hybridMultilevel"/>
    <w:tmpl w:val="38CC6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7F56A9"/>
    <w:multiLevelType w:val="hybridMultilevel"/>
    <w:tmpl w:val="92DEC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FF2F6C"/>
    <w:multiLevelType w:val="hybridMultilevel"/>
    <w:tmpl w:val="06265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7E0F00"/>
    <w:multiLevelType w:val="hybridMultilevel"/>
    <w:tmpl w:val="2E6C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7A6EDE"/>
    <w:multiLevelType w:val="hybridMultilevel"/>
    <w:tmpl w:val="0AA0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3C5DE5"/>
    <w:multiLevelType w:val="hybridMultilevel"/>
    <w:tmpl w:val="E2F8C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4"/>
  </w:num>
  <w:num w:numId="4">
    <w:abstractNumId w:val="14"/>
  </w:num>
  <w:num w:numId="5">
    <w:abstractNumId w:val="12"/>
  </w:num>
  <w:num w:numId="6">
    <w:abstractNumId w:val="7"/>
  </w:num>
  <w:num w:numId="7">
    <w:abstractNumId w:val="6"/>
  </w:num>
  <w:num w:numId="8">
    <w:abstractNumId w:val="17"/>
  </w:num>
  <w:num w:numId="9">
    <w:abstractNumId w:val="0"/>
  </w:num>
  <w:num w:numId="10">
    <w:abstractNumId w:val="18"/>
  </w:num>
  <w:num w:numId="11">
    <w:abstractNumId w:val="1"/>
  </w:num>
  <w:num w:numId="12">
    <w:abstractNumId w:val="9"/>
  </w:num>
  <w:num w:numId="13">
    <w:abstractNumId w:val="19"/>
  </w:num>
  <w:num w:numId="14">
    <w:abstractNumId w:val="15"/>
  </w:num>
  <w:num w:numId="15">
    <w:abstractNumId w:val="5"/>
  </w:num>
  <w:num w:numId="16">
    <w:abstractNumId w:val="11"/>
  </w:num>
  <w:num w:numId="17">
    <w:abstractNumId w:val="13"/>
  </w:num>
  <w:num w:numId="18">
    <w:abstractNumId w:val="2"/>
  </w:num>
  <w:num w:numId="19">
    <w:abstractNumId w:val="8"/>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00B22"/>
    <w:rsid w:val="00152E58"/>
    <w:rsid w:val="001B080A"/>
    <w:rsid w:val="001B1D06"/>
    <w:rsid w:val="001C787B"/>
    <w:rsid w:val="00413BDF"/>
    <w:rsid w:val="00455F38"/>
    <w:rsid w:val="00477EDD"/>
    <w:rsid w:val="00486189"/>
    <w:rsid w:val="004B7415"/>
    <w:rsid w:val="005063CC"/>
    <w:rsid w:val="005376C9"/>
    <w:rsid w:val="005377BB"/>
    <w:rsid w:val="0054571B"/>
    <w:rsid w:val="00563B16"/>
    <w:rsid w:val="005C2ADA"/>
    <w:rsid w:val="00607FC4"/>
    <w:rsid w:val="00693B19"/>
    <w:rsid w:val="006C3D83"/>
    <w:rsid w:val="00720CBB"/>
    <w:rsid w:val="007B7E7C"/>
    <w:rsid w:val="007E5C02"/>
    <w:rsid w:val="00820273"/>
    <w:rsid w:val="0082039C"/>
    <w:rsid w:val="008D477B"/>
    <w:rsid w:val="008E50B1"/>
    <w:rsid w:val="008F6C26"/>
    <w:rsid w:val="00903F31"/>
    <w:rsid w:val="00920585"/>
    <w:rsid w:val="009352F5"/>
    <w:rsid w:val="009806BB"/>
    <w:rsid w:val="00984155"/>
    <w:rsid w:val="009A32F8"/>
    <w:rsid w:val="009B40F6"/>
    <w:rsid w:val="009D0BFB"/>
    <w:rsid w:val="009D0D0E"/>
    <w:rsid w:val="00A00BC6"/>
    <w:rsid w:val="00A036D6"/>
    <w:rsid w:val="00A37AB3"/>
    <w:rsid w:val="00AC088B"/>
    <w:rsid w:val="00AC08FD"/>
    <w:rsid w:val="00AD03F7"/>
    <w:rsid w:val="00AF4C1A"/>
    <w:rsid w:val="00B245FA"/>
    <w:rsid w:val="00B35685"/>
    <w:rsid w:val="00B47A3E"/>
    <w:rsid w:val="00B552F2"/>
    <w:rsid w:val="00C106C2"/>
    <w:rsid w:val="00C96B26"/>
    <w:rsid w:val="00CB1D54"/>
    <w:rsid w:val="00CD29EF"/>
    <w:rsid w:val="00D248FF"/>
    <w:rsid w:val="00D93AEB"/>
    <w:rsid w:val="00D944D3"/>
    <w:rsid w:val="00DA6013"/>
    <w:rsid w:val="00DF063A"/>
    <w:rsid w:val="00DF32EA"/>
    <w:rsid w:val="00E44F0C"/>
    <w:rsid w:val="00E7174A"/>
    <w:rsid w:val="00EA6E24"/>
    <w:rsid w:val="00F04698"/>
    <w:rsid w:val="00F432A4"/>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273"/>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styleId="Emphasis">
    <w:name w:val="Emphasis"/>
    <w:basedOn w:val="DefaultParagraphFont"/>
    <w:uiPriority w:val="20"/>
    <w:qFormat/>
    <w:rsid w:val="008202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5274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590</Words>
  <Characters>3367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Alex Bird (Kenwood)</cp:lastModifiedBy>
  <cp:revision>3</cp:revision>
  <dcterms:created xsi:type="dcterms:W3CDTF">2025-01-07T15:56:00Z</dcterms:created>
  <dcterms:modified xsi:type="dcterms:W3CDTF">2025-01-08T13:09:00Z</dcterms:modified>
</cp:coreProperties>
</file>