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5F0ACC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D5A4E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11391">
              <w:rPr>
                <w:rFonts w:ascii="Verdana" w:hAnsi="Verdana"/>
                <w:b/>
                <w:bCs/>
                <w:sz w:val="24"/>
                <w:szCs w:val="24"/>
              </w:rPr>
              <w:t>NEC05 and NEC06</w:t>
            </w:r>
          </w:p>
        </w:tc>
        <w:tc>
          <w:tcPr>
            <w:tcW w:w="2956" w:type="dxa"/>
          </w:tcPr>
          <w:p w14:paraId="181E5C95" w14:textId="5BA97F6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D5A4E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901" w:type="dxa"/>
          </w:tcPr>
          <w:p w14:paraId="5FD2855C" w14:textId="6BCF3B6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74EA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E515E4B" w:rsidR="00B245FA" w:rsidRPr="00B245FA" w:rsidRDefault="00A1139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Helen Hawkins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61321C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E5534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A1139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One Exploring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52E4AA9" w14:textId="6A4B078B" w:rsidR="00943789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95CA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4288D42B" w14:textId="7D05700F" w:rsidR="00B245FA" w:rsidRDefault="0094378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HT1: </w:t>
            </w:r>
            <w:r w:rsidR="00874E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Short Stories and Creative Writing</w:t>
            </w:r>
          </w:p>
          <w:p w14:paraId="54A8F86B" w14:textId="2C05CBEA" w:rsidR="006E72F9" w:rsidRPr="006E72F9" w:rsidRDefault="006E72F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 will read a </w:t>
            </w:r>
            <w:r w:rsidR="002F1DB4">
              <w:rPr>
                <w:rFonts w:ascii="Verdana" w:hAnsi="Verdana"/>
                <w:color w:val="002060"/>
                <w:sz w:val="24"/>
                <w:szCs w:val="24"/>
              </w:rPr>
              <w:t xml:space="preserve">small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selection of short stories</w:t>
            </w:r>
            <w:r w:rsidR="002F1DB4">
              <w:rPr>
                <w:rFonts w:ascii="Verdana" w:hAnsi="Verdana"/>
                <w:color w:val="002060"/>
                <w:sz w:val="24"/>
                <w:szCs w:val="24"/>
              </w:rPr>
              <w:t xml:space="preserve"> in order to explore conventions and structure. Students will then take on the role of the writer and develop their own ideas for a short story which they will draft and publish. </w:t>
            </w:r>
          </w:p>
          <w:p w14:paraId="319F7100" w14:textId="77777777" w:rsidR="00943789" w:rsidRDefault="0094378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HT2: </w:t>
            </w:r>
            <w:r w:rsidR="00874E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20th century </w:t>
            </w:r>
            <w:proofErr w:type="gramStart"/>
            <w:r w:rsidR="00874E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play</w:t>
            </w:r>
            <w:proofErr w:type="gramEnd"/>
            <w:r w:rsidR="00874E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speaking and listening</w:t>
            </w:r>
          </w:p>
          <w:p w14:paraId="4E9446DA" w14:textId="2107A2FC" w:rsidR="009C6F70" w:rsidRPr="002F1DB4" w:rsidRDefault="002F1DB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2F1DB4">
              <w:rPr>
                <w:rFonts w:ascii="Verdana" w:hAnsi="Verdana"/>
                <w:color w:val="002060"/>
                <w:sz w:val="24"/>
                <w:szCs w:val="24"/>
              </w:rPr>
              <w:t xml:space="preserve">We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will study a contemporary play, developing understanding of dramatic conventions. Students will have lots of opportunities for performance and discussion.</w:t>
            </w:r>
          </w:p>
          <w:p w14:paraId="20F2ABFF" w14:textId="77777777" w:rsidR="009C6F70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27586C1B" w14:textId="77777777" w:rsidR="009C6F70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2F0B9609" w14:textId="77777777" w:rsidR="009C6F70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45E674C4" w14:textId="06380B06" w:rsidR="009C6F70" w:rsidRPr="00B245FA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943789" w:rsidRPr="00B245FA" w14:paraId="6BE13D81" w14:textId="77777777" w:rsidTr="00B245FA">
        <w:trPr>
          <w:trHeight w:val="500"/>
        </w:trPr>
        <w:tc>
          <w:tcPr>
            <w:tcW w:w="9067" w:type="dxa"/>
            <w:gridSpan w:val="5"/>
          </w:tcPr>
          <w:p w14:paraId="427115DD" w14:textId="77777777" w:rsidR="00943789" w:rsidRPr="00943789" w:rsidRDefault="0094378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>Reading:</w:t>
            </w:r>
          </w:p>
          <w:p w14:paraId="0AAF5FBD" w14:textId="21CE400C" w:rsidR="00943789" w:rsidRPr="00943789" w:rsidRDefault="0094378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 xml:space="preserve">HT1: </w:t>
            </w:r>
            <w:r w:rsidR="00E55344">
              <w:rPr>
                <w:rFonts w:ascii="Verdana" w:hAnsi="Verdana"/>
                <w:color w:val="002060"/>
                <w:sz w:val="24"/>
                <w:szCs w:val="24"/>
              </w:rPr>
              <w:t>Structure.</w:t>
            </w:r>
          </w:p>
          <w:p w14:paraId="2EF79A25" w14:textId="519AF0D6" w:rsidR="00943789" w:rsidRPr="00B245FA" w:rsidRDefault="0094378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 xml:space="preserve">HT2: </w:t>
            </w:r>
            <w:r w:rsidR="00874EA3">
              <w:rPr>
                <w:rFonts w:ascii="Verdana" w:hAnsi="Verdana"/>
                <w:color w:val="002060"/>
                <w:sz w:val="24"/>
                <w:szCs w:val="24"/>
              </w:rPr>
              <w:t>Discussion of ideas, themes and contemporary issues arising from the text.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63EC3324" w:rsidR="00B245FA" w:rsidRPr="00B245FA" w:rsidRDefault="00A11391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E55344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FE3143D" w14:textId="16453128" w:rsidR="00147E34" w:rsidRPr="00E55344" w:rsidRDefault="00A11391" w:rsidP="00B35532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9D0D0E">
              <w:rPr>
                <w:sz w:val="24"/>
                <w:szCs w:val="24"/>
              </w:rPr>
              <w:t>ome relevant points identified; comments supported by some generally relevant textual reference or quotation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1AAF7769" w14:textId="0A1C8EAA" w:rsidR="00B245FA" w:rsidRPr="00B245FA" w:rsidRDefault="00A11391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5884A6B9" w14:textId="5C089041" w:rsidR="00943789" w:rsidRPr="009C6F70" w:rsidRDefault="00A11391" w:rsidP="00874EA3">
            <w:pPr>
              <w:rPr>
                <w:rFonts w:cstheme="minorHAnsi"/>
                <w:bCs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9D0D0E">
              <w:rPr>
                <w:sz w:val="24"/>
                <w:szCs w:val="24"/>
              </w:rPr>
              <w:t>ake inferences based on evidence from different points in the text, often correct</w:t>
            </w:r>
          </w:p>
        </w:tc>
      </w:tr>
      <w:tr w:rsidR="009C6F70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D49B405" w14:textId="1CFD02C7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  <w:p w14:paraId="1F9D7E3D" w14:textId="77777777" w:rsidR="009C6F70" w:rsidRPr="00B245FA" w:rsidRDefault="009C6F70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2C3136E" w:rsidR="009C6F70" w:rsidRPr="009C6F70" w:rsidRDefault="00A11391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9D0D0E">
              <w:rPr>
                <w:sz w:val="24"/>
                <w:szCs w:val="24"/>
              </w:rPr>
              <w:t>ome structural choices identified with simple comment; identifies some basic organisational features</w:t>
            </w:r>
          </w:p>
        </w:tc>
      </w:tr>
      <w:tr w:rsidR="009C6F70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107252E0" w14:textId="566F63BC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  <w:p w14:paraId="77192A04" w14:textId="60F0D016" w:rsidR="009C6F70" w:rsidRPr="00B245FA" w:rsidRDefault="009C6F70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B6DD4B1" w14:textId="7FB5F2B5" w:rsidR="009C6F70" w:rsidRPr="009C6F70" w:rsidRDefault="00A11391" w:rsidP="009C6F70">
            <w:pPr>
              <w:tabs>
                <w:tab w:val="left" w:pos="937"/>
              </w:tabs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9D0D0E">
              <w:rPr>
                <w:sz w:val="24"/>
                <w:szCs w:val="24"/>
              </w:rPr>
              <w:t>ome basic language features identified; simple comments on writer’s choices</w:t>
            </w:r>
          </w:p>
        </w:tc>
      </w:tr>
      <w:tr w:rsidR="009C6F70" w:rsidRPr="00B245FA" w14:paraId="6D1C9103" w14:textId="77777777" w:rsidTr="00B245FA">
        <w:trPr>
          <w:trHeight w:val="537"/>
        </w:trPr>
        <w:tc>
          <w:tcPr>
            <w:tcW w:w="1001" w:type="dxa"/>
          </w:tcPr>
          <w:p w14:paraId="10C9CB9B" w14:textId="081DE5BC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2894BCD2" w14:textId="58E6FECD" w:rsidR="009C6F70" w:rsidRPr="009C6F70" w:rsidRDefault="00A11391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A11391">
              <w:rPr>
                <w:sz w:val="24"/>
                <w:szCs w:val="24"/>
              </w:rPr>
              <w:t>imple comment on overall effect on reader</w:t>
            </w:r>
          </w:p>
        </w:tc>
      </w:tr>
      <w:tr w:rsidR="009C6F70" w:rsidRPr="00B245FA" w14:paraId="30163EE9" w14:textId="77777777" w:rsidTr="00A8327C">
        <w:trPr>
          <w:trHeight w:val="537"/>
        </w:trPr>
        <w:tc>
          <w:tcPr>
            <w:tcW w:w="9067" w:type="dxa"/>
            <w:gridSpan w:val="5"/>
          </w:tcPr>
          <w:p w14:paraId="6880835C" w14:textId="77777777" w:rsidR="009C6F70" w:rsidRDefault="009C6F70" w:rsidP="009C6F70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Writing:</w:t>
            </w:r>
          </w:p>
          <w:p w14:paraId="258C0FB8" w14:textId="658FEBE0" w:rsidR="009C6F70" w:rsidRDefault="009C6F70" w:rsidP="009C6F70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HT1: Creative</w:t>
            </w:r>
          </w:p>
          <w:p w14:paraId="63BBA0D7" w14:textId="06BFC02E" w:rsidR="009C6F70" w:rsidRDefault="009C6F70" w:rsidP="009C6F70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HT2: Writing to support talk</w:t>
            </w:r>
          </w:p>
        </w:tc>
      </w:tr>
      <w:tr w:rsidR="009C6F70" w:rsidRPr="00B245FA" w14:paraId="402554C6" w14:textId="77777777" w:rsidTr="00B245FA">
        <w:trPr>
          <w:trHeight w:val="537"/>
        </w:trPr>
        <w:tc>
          <w:tcPr>
            <w:tcW w:w="1001" w:type="dxa"/>
          </w:tcPr>
          <w:p w14:paraId="50FCBE9A" w14:textId="287BF2E2" w:rsidR="009C6F70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3AE3CE1" w14:textId="0CC4F1FF" w:rsidR="006E72F9" w:rsidRPr="006E72F9" w:rsidRDefault="006E72F9" w:rsidP="006E72F9">
            <w:pPr>
              <w:rPr>
                <w:sz w:val="18"/>
                <w:szCs w:val="18"/>
              </w:rPr>
            </w:pPr>
            <w:r w:rsidRPr="006E72F9">
              <w:rPr>
                <w:sz w:val="24"/>
                <w:szCs w:val="24"/>
              </w:rPr>
              <w:t>R</w:t>
            </w:r>
            <w:r w:rsidRPr="006E72F9">
              <w:rPr>
                <w:sz w:val="24"/>
                <w:szCs w:val="24"/>
              </w:rPr>
              <w:t>elevant ideas and content chosen</w:t>
            </w:r>
          </w:p>
          <w:p w14:paraId="0B290805" w14:textId="084E572C" w:rsidR="009C6F70" w:rsidRPr="009C6F70" w:rsidRDefault="009C6F70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</w:tr>
      <w:tr w:rsidR="009C6F70" w:rsidRPr="00B245FA" w14:paraId="7F80CDA4" w14:textId="77777777" w:rsidTr="00B245FA">
        <w:trPr>
          <w:trHeight w:val="537"/>
        </w:trPr>
        <w:tc>
          <w:tcPr>
            <w:tcW w:w="1001" w:type="dxa"/>
          </w:tcPr>
          <w:p w14:paraId="553E0E41" w14:textId="3DE7CA6E" w:rsidR="009C6F70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48B5BF83" w14:textId="47645F00" w:rsidR="009C6F70" w:rsidRPr="009C6F70" w:rsidRDefault="006E72F9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A11391" w:rsidRPr="009D0D0E">
              <w:rPr>
                <w:sz w:val="24"/>
                <w:szCs w:val="24"/>
              </w:rPr>
              <w:t>deas organised simply by clustering related points/ time sequence; sequencing generally logical; some signalling</w:t>
            </w:r>
          </w:p>
        </w:tc>
      </w:tr>
      <w:tr w:rsidR="009C6F70" w:rsidRPr="00B245FA" w14:paraId="200DEF07" w14:textId="77777777" w:rsidTr="00B245FA">
        <w:trPr>
          <w:trHeight w:val="537"/>
        </w:trPr>
        <w:tc>
          <w:tcPr>
            <w:tcW w:w="1001" w:type="dxa"/>
          </w:tcPr>
          <w:p w14:paraId="54126352" w14:textId="3E99FBC7" w:rsidR="009C6F70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0791455" w14:textId="5F0E00A4" w:rsidR="009C6F70" w:rsidRPr="009C6F70" w:rsidRDefault="006E72F9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11391" w:rsidRPr="009D0D0E">
              <w:rPr>
                <w:sz w:val="24"/>
                <w:szCs w:val="24"/>
              </w:rPr>
              <w:t>aragraphs organise content; within paragraphs some connections between sentences; some links between sections</w:t>
            </w:r>
          </w:p>
        </w:tc>
      </w:tr>
      <w:tr w:rsidR="009C6F70" w:rsidRPr="00B245FA" w14:paraId="2CEA8C90" w14:textId="77777777" w:rsidTr="00B245FA">
        <w:trPr>
          <w:trHeight w:val="537"/>
        </w:trPr>
        <w:tc>
          <w:tcPr>
            <w:tcW w:w="1001" w:type="dxa"/>
          </w:tcPr>
          <w:p w14:paraId="785FFF4B" w14:textId="68163581" w:rsidR="009C6F70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DF87281" w14:textId="6AB6AC86" w:rsidR="006E72F9" w:rsidRPr="006E72F9" w:rsidRDefault="006E72F9" w:rsidP="006E72F9">
            <w:pPr>
              <w:rPr>
                <w:sz w:val="24"/>
                <w:szCs w:val="24"/>
              </w:rPr>
            </w:pPr>
            <w:r w:rsidRPr="006E72F9">
              <w:rPr>
                <w:sz w:val="24"/>
                <w:szCs w:val="24"/>
              </w:rPr>
              <w:t>S</w:t>
            </w:r>
            <w:r w:rsidRPr="006E72F9">
              <w:rPr>
                <w:sz w:val="24"/>
                <w:szCs w:val="24"/>
              </w:rPr>
              <w:t xml:space="preserve">ome variety in length, structure or subject of sentences </w:t>
            </w:r>
          </w:p>
          <w:p w14:paraId="15D1CE78" w14:textId="10766BC5" w:rsidR="009C6F70" w:rsidRPr="009C6F70" w:rsidRDefault="009C6F70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</w:p>
        </w:tc>
      </w:tr>
      <w:tr w:rsidR="009C6F70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6987582B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3976CE" w14:textId="3169E43F" w:rsidR="009C6F70" w:rsidRPr="009C6F70" w:rsidRDefault="00A11391" w:rsidP="009C6F70">
            <w:pPr>
              <w:rPr>
                <w:rFonts w:ascii="Verdana" w:hAnsi="Verdana" w:cstheme="minorHAnsi"/>
                <w:b/>
                <w:color w:val="002060"/>
                <w:sz w:val="24"/>
                <w:szCs w:val="24"/>
              </w:rPr>
            </w:pPr>
            <w:r w:rsidRPr="009D0D0E">
              <w:rPr>
                <w:sz w:val="24"/>
                <w:szCs w:val="24"/>
              </w:rPr>
              <w:t>some evidence of deliberate vocabulary choices; some expansion of general vocabulary to match topic</w:t>
            </w:r>
          </w:p>
        </w:tc>
      </w:tr>
    </w:tbl>
    <w:p w14:paraId="0E8D8A8F" w14:textId="736B62AE" w:rsidR="00147E34" w:rsidRDefault="00147E34">
      <w:pPr>
        <w:rPr>
          <w:rFonts w:ascii="Verdana" w:hAnsi="Verdana"/>
          <w:color w:val="002060"/>
          <w:sz w:val="24"/>
          <w:szCs w:val="24"/>
        </w:rPr>
      </w:pPr>
    </w:p>
    <w:p w14:paraId="79B59522" w14:textId="46273728" w:rsidR="00B37439" w:rsidRDefault="00B37439">
      <w:pPr>
        <w:rPr>
          <w:rFonts w:ascii="Verdana" w:hAnsi="Verdana"/>
          <w:color w:val="002060"/>
          <w:sz w:val="24"/>
          <w:szCs w:val="24"/>
        </w:rPr>
      </w:pPr>
    </w:p>
    <w:p w14:paraId="697BD278" w14:textId="4E4636BC" w:rsidR="00B37439" w:rsidRDefault="00B37439">
      <w:pPr>
        <w:rPr>
          <w:rFonts w:ascii="Verdana" w:hAnsi="Verdana"/>
          <w:color w:val="002060"/>
          <w:sz w:val="24"/>
          <w:szCs w:val="24"/>
        </w:rPr>
      </w:pPr>
    </w:p>
    <w:p w14:paraId="5E2034B7" w14:textId="77777777" w:rsidR="00B37439" w:rsidRDefault="00B37439">
      <w:pPr>
        <w:rPr>
          <w:rFonts w:ascii="Verdana" w:hAnsi="Verdana"/>
          <w:color w:val="002060"/>
          <w:sz w:val="24"/>
          <w:szCs w:val="24"/>
        </w:rPr>
      </w:pPr>
    </w:p>
    <w:p w14:paraId="4D50AA4D" w14:textId="6438479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9"/>
        <w:gridCol w:w="1392"/>
        <w:gridCol w:w="1393"/>
        <w:gridCol w:w="1473"/>
        <w:gridCol w:w="1513"/>
        <w:gridCol w:w="1866"/>
      </w:tblGrid>
      <w:tr w:rsidR="00532B3E" w:rsidRPr="00B245FA" w14:paraId="56E7C716" w14:textId="77777777" w:rsidTr="006B5933">
        <w:tc>
          <w:tcPr>
            <w:tcW w:w="1415" w:type="dxa"/>
          </w:tcPr>
          <w:p w14:paraId="3ED141E8" w14:textId="2B78387E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N</w:t>
            </w:r>
            <w:r w:rsidR="00B33A6D" w:rsidRPr="00532B3E">
              <w:rPr>
                <w:rFonts w:ascii="Verdana" w:hAnsi="Verdana"/>
                <w:color w:val="002060"/>
                <w:sz w:val="24"/>
                <w:szCs w:val="24"/>
              </w:rPr>
              <w:t>arrator</w:t>
            </w:r>
          </w:p>
        </w:tc>
        <w:tc>
          <w:tcPr>
            <w:tcW w:w="1364" w:type="dxa"/>
          </w:tcPr>
          <w:p w14:paraId="7CDA4861" w14:textId="521B8E65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T</w:t>
            </w:r>
            <w:r w:rsidR="00B33A6D" w:rsidRPr="00532B3E">
              <w:rPr>
                <w:rFonts w:ascii="Verdana" w:hAnsi="Verdana"/>
                <w:color w:val="002060"/>
                <w:sz w:val="24"/>
                <w:szCs w:val="24"/>
              </w:rPr>
              <w:t>ension</w:t>
            </w:r>
          </w:p>
        </w:tc>
        <w:tc>
          <w:tcPr>
            <w:tcW w:w="1404" w:type="dxa"/>
          </w:tcPr>
          <w:p w14:paraId="5D17AF0B" w14:textId="5BD62C77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S</w:t>
            </w:r>
            <w:r w:rsidR="00B33A6D" w:rsidRPr="00532B3E">
              <w:rPr>
                <w:rFonts w:ascii="Verdana" w:hAnsi="Verdana"/>
                <w:color w:val="002060"/>
                <w:sz w:val="24"/>
                <w:szCs w:val="24"/>
              </w:rPr>
              <w:t>tructure</w:t>
            </w:r>
          </w:p>
        </w:tc>
        <w:tc>
          <w:tcPr>
            <w:tcW w:w="1362" w:type="dxa"/>
          </w:tcPr>
          <w:p w14:paraId="70A311EF" w14:textId="60BBFB46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Genre</w:t>
            </w:r>
          </w:p>
        </w:tc>
        <w:tc>
          <w:tcPr>
            <w:tcW w:w="1450" w:type="dxa"/>
          </w:tcPr>
          <w:p w14:paraId="3AF3EEF7" w14:textId="1EAA65D4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Conflict</w:t>
            </w:r>
          </w:p>
        </w:tc>
        <w:tc>
          <w:tcPr>
            <w:tcW w:w="2021" w:type="dxa"/>
          </w:tcPr>
          <w:p w14:paraId="3B235E5C" w14:textId="6848E246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Pr="00532B3E">
              <w:rPr>
                <w:rFonts w:ascii="Verdana" w:hAnsi="Verdana"/>
                <w:color w:val="002060"/>
                <w:sz w:val="24"/>
                <w:szCs w:val="24"/>
                <w:vertAlign w:val="superscript"/>
              </w:rPr>
              <w:t>st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person</w:t>
            </w:r>
          </w:p>
        </w:tc>
      </w:tr>
      <w:tr w:rsidR="00532B3E" w:rsidRPr="00B245FA" w14:paraId="5DC8C621" w14:textId="77777777" w:rsidTr="006B5933">
        <w:tc>
          <w:tcPr>
            <w:tcW w:w="1415" w:type="dxa"/>
          </w:tcPr>
          <w:p w14:paraId="14CD84C4" w14:textId="09C649A8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Plot</w:t>
            </w:r>
          </w:p>
        </w:tc>
        <w:tc>
          <w:tcPr>
            <w:tcW w:w="1364" w:type="dxa"/>
          </w:tcPr>
          <w:p w14:paraId="2B6B0AA7" w14:textId="49EF8C2C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Theme</w:t>
            </w:r>
          </w:p>
        </w:tc>
        <w:tc>
          <w:tcPr>
            <w:tcW w:w="1404" w:type="dxa"/>
          </w:tcPr>
          <w:p w14:paraId="44846C07" w14:textId="513601F3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362" w:type="dxa"/>
          </w:tcPr>
          <w:p w14:paraId="27312DB3" w14:textId="5FD3B49E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Opening</w:t>
            </w:r>
          </w:p>
        </w:tc>
        <w:tc>
          <w:tcPr>
            <w:tcW w:w="1450" w:type="dxa"/>
          </w:tcPr>
          <w:p w14:paraId="24B2E7BF" w14:textId="08BA577D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Build-up</w:t>
            </w:r>
          </w:p>
        </w:tc>
        <w:tc>
          <w:tcPr>
            <w:tcW w:w="2021" w:type="dxa"/>
          </w:tcPr>
          <w:p w14:paraId="7E715B4E" w14:textId="7B71B8F9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  <w:r w:rsidRPr="00532B3E">
              <w:rPr>
                <w:rFonts w:ascii="Verdana" w:hAnsi="Verdana"/>
                <w:color w:val="002060"/>
                <w:sz w:val="24"/>
                <w:szCs w:val="24"/>
                <w:vertAlign w:val="superscript"/>
              </w:rPr>
              <w:t>rd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person</w:t>
            </w:r>
          </w:p>
        </w:tc>
      </w:tr>
      <w:tr w:rsidR="00532B3E" w:rsidRPr="00B245FA" w14:paraId="333D59DA" w14:textId="77777777" w:rsidTr="006B5933">
        <w:tc>
          <w:tcPr>
            <w:tcW w:w="1415" w:type="dxa"/>
          </w:tcPr>
          <w:p w14:paraId="7A65D77F" w14:textId="7AC9B42F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Mood</w:t>
            </w:r>
          </w:p>
        </w:tc>
        <w:tc>
          <w:tcPr>
            <w:tcW w:w="1364" w:type="dxa"/>
          </w:tcPr>
          <w:p w14:paraId="3009187A" w14:textId="76A788D6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404" w:type="dxa"/>
          </w:tcPr>
          <w:p w14:paraId="67FCC52D" w14:textId="62BE6700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Dialogue</w:t>
            </w:r>
          </w:p>
        </w:tc>
        <w:tc>
          <w:tcPr>
            <w:tcW w:w="1362" w:type="dxa"/>
          </w:tcPr>
          <w:p w14:paraId="67254CC7" w14:textId="1D8FD7B2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Resolution</w:t>
            </w:r>
          </w:p>
        </w:tc>
        <w:tc>
          <w:tcPr>
            <w:tcW w:w="1450" w:type="dxa"/>
          </w:tcPr>
          <w:p w14:paraId="1CFF4AAF" w14:textId="4CF47DA5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Conclusion</w:t>
            </w:r>
          </w:p>
        </w:tc>
        <w:tc>
          <w:tcPr>
            <w:tcW w:w="2021" w:type="dxa"/>
          </w:tcPr>
          <w:p w14:paraId="08E0CDA1" w14:textId="532536B5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Opening</w:t>
            </w:r>
          </w:p>
        </w:tc>
      </w:tr>
    </w:tbl>
    <w:p w14:paraId="74B51687" w14:textId="77777777" w:rsidR="00A90A87" w:rsidRDefault="00A90A87">
      <w:pPr>
        <w:rPr>
          <w:rFonts w:ascii="Verdana" w:hAnsi="Verdana"/>
          <w:color w:val="002060"/>
          <w:sz w:val="24"/>
          <w:szCs w:val="24"/>
        </w:rPr>
      </w:pPr>
    </w:p>
    <w:p w14:paraId="0B2D0921" w14:textId="77777777" w:rsidR="006B5933" w:rsidRDefault="006B5933">
      <w:pPr>
        <w:rPr>
          <w:rFonts w:ascii="Verdana" w:hAnsi="Verdana"/>
          <w:color w:val="002060"/>
          <w:sz w:val="24"/>
          <w:szCs w:val="24"/>
        </w:rPr>
      </w:pPr>
    </w:p>
    <w:p w14:paraId="5ECA3170" w14:textId="397651C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9175"/>
      </w:tblGrid>
      <w:tr w:rsidR="00B245FA" w:rsidRPr="00B245FA" w14:paraId="430E0E26" w14:textId="77777777" w:rsidTr="00A90A87">
        <w:trPr>
          <w:trHeight w:val="4678"/>
        </w:trPr>
        <w:tc>
          <w:tcPr>
            <w:tcW w:w="9175" w:type="dxa"/>
          </w:tcPr>
          <w:p w14:paraId="0FCCE8DD" w14:textId="71B51303" w:rsidR="00A65257" w:rsidRPr="00B37439" w:rsidRDefault="00B50212" w:rsidP="00B37439">
            <w:pPr>
              <w:shd w:val="clear" w:color="auto" w:fill="FFFFFF"/>
              <w:tabs>
                <w:tab w:val="left" w:pos="197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D61379C" wp14:editId="6FFF4BE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152400</wp:posOffset>
                  </wp:positionV>
                  <wp:extent cx="1318260" cy="2015271"/>
                  <wp:effectExtent l="0" t="0" r="0" b="4445"/>
                  <wp:wrapTight wrapText="bothSides">
                    <wp:wrapPolygon edited="0">
                      <wp:start x="0" y="0"/>
                      <wp:lineTo x="0" y="21443"/>
                      <wp:lineTo x="21225" y="21443"/>
                      <wp:lineTo x="2122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2015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This new anthology of classic short stories has been chosen specifically to inspire Key Stage 3 pupils. A rich, varied 'teacher-tested' range of stories have been included - tales from the Greek Myths, from the Arabian Nights and from the brothers Grimm; a story of King Arthur and a fairy tale from Perrault; Victorian and Edwardian ghost stories, and more. Some familiar old favourites share space with less well-known stories; there's comic stories and scary ones and tales of tremendous derring-do. There's something here, in short, to catch the imagination of every reader.</w:t>
            </w:r>
          </w:p>
        </w:tc>
      </w:tr>
    </w:tbl>
    <w:p w14:paraId="1C76E45F" w14:textId="2F7D475D" w:rsidR="00C96B26" w:rsidRDefault="00C96B26">
      <w:pPr>
        <w:rPr>
          <w:sz w:val="32"/>
          <w:szCs w:val="32"/>
        </w:rPr>
      </w:pPr>
    </w:p>
    <w:p w14:paraId="74278F9A" w14:textId="2CBCF877" w:rsidR="000C6367" w:rsidRDefault="000C6367">
      <w:pPr>
        <w:rPr>
          <w:sz w:val="32"/>
          <w:szCs w:val="32"/>
        </w:rPr>
      </w:pPr>
    </w:p>
    <w:p w14:paraId="6894A7E6" w14:textId="77777777" w:rsidR="000C6367" w:rsidRPr="00014922" w:rsidRDefault="000C6367">
      <w:pPr>
        <w:rPr>
          <w:sz w:val="32"/>
          <w:szCs w:val="32"/>
        </w:rPr>
      </w:pPr>
    </w:p>
    <w:sectPr w:rsidR="000C6367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765CF"/>
    <w:multiLevelType w:val="hybridMultilevel"/>
    <w:tmpl w:val="E5267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F2F6C"/>
    <w:multiLevelType w:val="hybridMultilevel"/>
    <w:tmpl w:val="06265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A6EDE"/>
    <w:multiLevelType w:val="hybridMultilevel"/>
    <w:tmpl w:val="0AA0F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C2CF2"/>
    <w:rsid w:val="000C6367"/>
    <w:rsid w:val="000D1F7C"/>
    <w:rsid w:val="000E349C"/>
    <w:rsid w:val="00141BA0"/>
    <w:rsid w:val="00147E34"/>
    <w:rsid w:val="00152E58"/>
    <w:rsid w:val="001B080A"/>
    <w:rsid w:val="0023484F"/>
    <w:rsid w:val="002F1DB4"/>
    <w:rsid w:val="00395CA6"/>
    <w:rsid w:val="00455F38"/>
    <w:rsid w:val="004651B9"/>
    <w:rsid w:val="00532B3E"/>
    <w:rsid w:val="005C2ADA"/>
    <w:rsid w:val="00630100"/>
    <w:rsid w:val="006B5933"/>
    <w:rsid w:val="006E72F9"/>
    <w:rsid w:val="007537E3"/>
    <w:rsid w:val="007E5C02"/>
    <w:rsid w:val="0082039C"/>
    <w:rsid w:val="00874EA3"/>
    <w:rsid w:val="008A11EA"/>
    <w:rsid w:val="008D477B"/>
    <w:rsid w:val="008F6C26"/>
    <w:rsid w:val="00920585"/>
    <w:rsid w:val="009352F5"/>
    <w:rsid w:val="00943789"/>
    <w:rsid w:val="009C6F70"/>
    <w:rsid w:val="009D0BFB"/>
    <w:rsid w:val="00A11391"/>
    <w:rsid w:val="00A65257"/>
    <w:rsid w:val="00A90A87"/>
    <w:rsid w:val="00AD03F7"/>
    <w:rsid w:val="00AF4C1A"/>
    <w:rsid w:val="00B245FA"/>
    <w:rsid w:val="00B33A6D"/>
    <w:rsid w:val="00B35532"/>
    <w:rsid w:val="00B37439"/>
    <w:rsid w:val="00B50212"/>
    <w:rsid w:val="00BA4124"/>
    <w:rsid w:val="00BD5A4E"/>
    <w:rsid w:val="00C274E9"/>
    <w:rsid w:val="00C96B26"/>
    <w:rsid w:val="00D944D3"/>
    <w:rsid w:val="00E50BE3"/>
    <w:rsid w:val="00E55344"/>
    <w:rsid w:val="00EA4DA9"/>
    <w:rsid w:val="00F04698"/>
    <w:rsid w:val="00F416BF"/>
    <w:rsid w:val="00FD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Helen Hawkins (Kenwood)</cp:lastModifiedBy>
  <cp:revision>7</cp:revision>
  <dcterms:created xsi:type="dcterms:W3CDTF">2025-01-05T09:39:00Z</dcterms:created>
  <dcterms:modified xsi:type="dcterms:W3CDTF">2025-01-05T11:04:00Z</dcterms:modified>
</cp:coreProperties>
</file>