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3533804F"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076164">
              <w:rPr>
                <w:rFonts w:ascii="Verdana" w:hAnsi="Verdana"/>
                <w:b/>
                <w:bCs/>
                <w:sz w:val="24"/>
                <w:szCs w:val="24"/>
              </w:rPr>
              <w:t>BR01</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7B11548C"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5975A4">
              <w:rPr>
                <w:rFonts w:ascii="Verdana" w:hAnsi="Verdana"/>
                <w:b/>
                <w:bCs/>
                <w:sz w:val="24"/>
                <w:szCs w:val="24"/>
              </w:rPr>
              <w:t>2</w:t>
            </w:r>
          </w:p>
        </w:tc>
      </w:tr>
      <w:tr w:rsidR="00B245FA" w:rsidRPr="00B245FA" w14:paraId="736F6FB1" w14:textId="77777777" w:rsidTr="00E43CF8">
        <w:trPr>
          <w:trHeight w:val="319"/>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4D89ACB5" w:rsidR="00B245FA" w:rsidRPr="00B245FA" w:rsidRDefault="00076164" w:rsidP="00B245FA">
            <w:pPr>
              <w:rPr>
                <w:rFonts w:ascii="Verdana" w:hAnsi="Verdana"/>
                <w:b/>
                <w:bCs/>
                <w:sz w:val="24"/>
                <w:szCs w:val="24"/>
              </w:rPr>
            </w:pPr>
            <w:r>
              <w:rPr>
                <w:rFonts w:ascii="Verdana" w:hAnsi="Verdana"/>
                <w:b/>
                <w:bCs/>
                <w:sz w:val="24"/>
                <w:szCs w:val="24"/>
              </w:rPr>
              <w:t xml:space="preserve"> Sarah Hully and Ed Kirk</w:t>
            </w:r>
          </w:p>
        </w:tc>
      </w:tr>
      <w:tr w:rsidR="00B245FA" w:rsidRPr="00B245FA" w14:paraId="0B0B2711" w14:textId="77777777" w:rsidTr="001E615B">
        <w:trPr>
          <w:trHeight w:val="483"/>
        </w:trPr>
        <w:tc>
          <w:tcPr>
            <w:tcW w:w="10485" w:type="dxa"/>
            <w:gridSpan w:val="4"/>
          </w:tcPr>
          <w:p w14:paraId="151CC055" w14:textId="31AC9BC8"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5975A4" w:rsidRPr="001E615B">
              <w:rPr>
                <w:rFonts w:ascii="Verdana" w:hAnsi="Verdana"/>
                <w:b/>
                <w:bCs/>
                <w:sz w:val="24"/>
                <w:szCs w:val="24"/>
              </w:rPr>
              <w:t xml:space="preserve"> Secondary </w:t>
            </w:r>
            <w:r w:rsidR="005975A4">
              <w:rPr>
                <w:rFonts w:ascii="Verdana" w:hAnsi="Verdana"/>
                <w:b/>
                <w:bCs/>
                <w:sz w:val="24"/>
                <w:szCs w:val="24"/>
              </w:rPr>
              <w:t>One: Deepening / Secondary Two: Fundamentals</w:t>
            </w:r>
          </w:p>
        </w:tc>
      </w:tr>
      <w:tr w:rsidR="00B245FA" w:rsidRPr="00B245FA" w14:paraId="351A68E2" w14:textId="77777777" w:rsidTr="001E615B">
        <w:trPr>
          <w:trHeight w:val="1283"/>
        </w:trPr>
        <w:tc>
          <w:tcPr>
            <w:tcW w:w="10485" w:type="dxa"/>
            <w:gridSpan w:val="4"/>
          </w:tcPr>
          <w:p w14:paraId="392E23E3" w14:textId="77777777" w:rsidR="00B245FA" w:rsidRDefault="00B245FA" w:rsidP="00B245FA">
            <w:pPr>
              <w:rPr>
                <w:rFonts w:cstheme="minorHAnsi"/>
                <w:sz w:val="24"/>
                <w:szCs w:val="24"/>
              </w:rPr>
            </w:pPr>
            <w:r w:rsidRPr="004141AA">
              <w:rPr>
                <w:rFonts w:ascii="Verdana" w:hAnsi="Verdana" w:cstheme="minorHAnsi"/>
                <w:b/>
                <w:bCs/>
                <w:sz w:val="24"/>
                <w:szCs w:val="24"/>
              </w:rPr>
              <w:t xml:space="preserve">Term </w:t>
            </w:r>
            <w:r w:rsidR="005975A4">
              <w:rPr>
                <w:rFonts w:ascii="Verdana" w:hAnsi="Verdana" w:cstheme="minorHAnsi"/>
                <w:b/>
                <w:bCs/>
                <w:sz w:val="24"/>
                <w:szCs w:val="24"/>
              </w:rPr>
              <w:t>2</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p>
          <w:p w14:paraId="45E674C4" w14:textId="02976292" w:rsidR="00A00785" w:rsidRPr="001E615B" w:rsidRDefault="00A00785" w:rsidP="00B245FA">
            <w:pPr>
              <w:rPr>
                <w:rFonts w:cstheme="minorHAnsi"/>
                <w:color w:val="002060"/>
              </w:rPr>
            </w:pPr>
            <w:r w:rsidRPr="00E43CF8">
              <w:rPr>
                <w:rFonts w:cstheme="minorHAnsi"/>
                <w:sz w:val="24"/>
                <w:szCs w:val="24"/>
              </w:rPr>
              <w:t>We will be exploring geometry and</w:t>
            </w:r>
            <w:r w:rsidR="00E43CF8" w:rsidRPr="00E43CF8">
              <w:rPr>
                <w:rFonts w:cstheme="minorHAnsi"/>
                <w:sz w:val="24"/>
                <w:szCs w:val="24"/>
              </w:rPr>
              <w:t>,</w:t>
            </w:r>
            <w:r w:rsidRPr="00E43CF8">
              <w:rPr>
                <w:rFonts w:cstheme="minorHAnsi"/>
                <w:sz w:val="24"/>
                <w:szCs w:val="24"/>
              </w:rPr>
              <w:t xml:space="preserve"> ratio and proportion. </w:t>
            </w:r>
            <w:r w:rsidR="00703FB1" w:rsidRPr="00E43CF8">
              <w:rPr>
                <w:rFonts w:cstheme="minorHAnsi"/>
                <w:sz w:val="24"/>
                <w:szCs w:val="24"/>
              </w:rPr>
              <w:t xml:space="preserve">We will explore congruent and similar triangles.  </w:t>
            </w:r>
            <w:r w:rsidRPr="00E43CF8">
              <w:rPr>
                <w:rFonts w:cstheme="minorHAnsi"/>
                <w:sz w:val="24"/>
                <w:szCs w:val="24"/>
              </w:rPr>
              <w:t>We will calculate missing angles including those formed by a transversal and parallel lines.  We will deepen our understanding of right-angled triangles, through Pythagoras’ theorem and trigonometry.  In the 2</w:t>
            </w:r>
            <w:r w:rsidRPr="00E43CF8">
              <w:rPr>
                <w:rFonts w:cstheme="minorHAnsi"/>
                <w:sz w:val="24"/>
                <w:szCs w:val="24"/>
                <w:vertAlign w:val="superscript"/>
              </w:rPr>
              <w:t>nd</w:t>
            </w:r>
            <w:r w:rsidRPr="00E43CF8">
              <w:rPr>
                <w:rFonts w:cstheme="minorHAnsi"/>
                <w:sz w:val="24"/>
                <w:szCs w:val="24"/>
              </w:rPr>
              <w:t xml:space="preserve"> half of the term, we will express values as a fraction and percentage of an amount.  We will also calculate a fraction of an amount.  We will deepen our understanding of percentages, through percentage change and using percentage multipliers to increase or decrease an amount.  Finally, we will share an amount in a given ratio and find a part given another part of a ratio.</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5975A4">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5975A4">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5975A4" w:rsidRPr="00D76A23" w14:paraId="23095E5E" w14:textId="4951FCFA" w:rsidTr="00E43CF8">
        <w:trPr>
          <w:trHeight w:val="741"/>
          <w:jc w:val="center"/>
        </w:trPr>
        <w:tc>
          <w:tcPr>
            <w:tcW w:w="220" w:type="pct"/>
            <w:shd w:val="clear" w:color="000000" w:fill="FFFFFF"/>
            <w:vAlign w:val="center"/>
          </w:tcPr>
          <w:p w14:paraId="3A4C31A9" w14:textId="522EA7FF"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12" w:space="0" w:color="auto"/>
              <w:left w:val="single" w:sz="12" w:space="0" w:color="auto"/>
              <w:bottom w:val="single" w:sz="12" w:space="0" w:color="auto"/>
              <w:right w:val="nil"/>
            </w:tcBorders>
            <w:shd w:val="clear" w:color="000000" w:fill="FF0000"/>
            <w:noWrap/>
            <w:vAlign w:val="center"/>
          </w:tcPr>
          <w:p w14:paraId="1819FA16" w14:textId="639EE5A5"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6</w:t>
            </w: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379BE1BA" w14:textId="61DCCF1E"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missing angles in parallel lines and give reasons why</w:t>
            </w:r>
          </w:p>
        </w:tc>
        <w:tc>
          <w:tcPr>
            <w:tcW w:w="755" w:type="pct"/>
          </w:tcPr>
          <w:p w14:paraId="6EB5C03B"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5975A4" w:rsidRPr="00D76A23" w:rsidRDefault="005975A4" w:rsidP="005975A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20E7B2C4" w14:textId="34357C51" w:rsidTr="00E43CF8">
        <w:trPr>
          <w:trHeight w:val="837"/>
          <w:jc w:val="center"/>
        </w:trPr>
        <w:tc>
          <w:tcPr>
            <w:tcW w:w="220" w:type="pct"/>
            <w:shd w:val="clear" w:color="000000" w:fill="FFFFFF"/>
            <w:vAlign w:val="center"/>
          </w:tcPr>
          <w:p w14:paraId="39760F18" w14:textId="74221651"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nil"/>
              <w:left w:val="single" w:sz="12" w:space="0" w:color="auto"/>
              <w:bottom w:val="single" w:sz="12" w:space="0" w:color="auto"/>
              <w:right w:val="nil"/>
            </w:tcBorders>
            <w:shd w:val="clear" w:color="000000" w:fill="FF0000"/>
            <w:noWrap/>
            <w:vAlign w:val="center"/>
          </w:tcPr>
          <w:p w14:paraId="012DE87C" w14:textId="6F02AC7B"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6</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593C8B93" w14:textId="549FCAD1"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 xml:space="preserve">I understand and can use the criteria by which triangles are congruent </w:t>
            </w:r>
          </w:p>
        </w:tc>
        <w:tc>
          <w:tcPr>
            <w:tcW w:w="755" w:type="pct"/>
          </w:tcPr>
          <w:p w14:paraId="0AAEA2C2"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5975A4" w:rsidRPr="00D76A23" w:rsidRDefault="005975A4" w:rsidP="005975A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6362422B" w14:textId="084FAD9C" w:rsidTr="00E43CF8">
        <w:trPr>
          <w:trHeight w:val="808"/>
          <w:jc w:val="center"/>
        </w:trPr>
        <w:tc>
          <w:tcPr>
            <w:tcW w:w="220" w:type="pct"/>
            <w:shd w:val="clear" w:color="000000" w:fill="FFFFFF"/>
            <w:vAlign w:val="center"/>
          </w:tcPr>
          <w:p w14:paraId="73C1DD0C" w14:textId="7231E6F5"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nil"/>
              <w:left w:val="single" w:sz="12" w:space="0" w:color="auto"/>
              <w:bottom w:val="single" w:sz="12" w:space="0" w:color="auto"/>
              <w:right w:val="nil"/>
            </w:tcBorders>
            <w:shd w:val="clear" w:color="000000" w:fill="FF0000"/>
            <w:noWrap/>
            <w:vAlign w:val="center"/>
          </w:tcPr>
          <w:p w14:paraId="6F4A1004" w14:textId="11348F91"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6</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075550A2" w14:textId="292C3A2A"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use the Pythagoras theorem to find a missing side in a right</w:t>
            </w:r>
            <w:r w:rsidR="00CF7B8B">
              <w:rPr>
                <w:rFonts w:ascii="Calibri" w:hAnsi="Calibri" w:cs="Calibri"/>
                <w:color w:val="000000"/>
              </w:rPr>
              <w:t>-</w:t>
            </w:r>
            <w:r>
              <w:rPr>
                <w:rFonts w:ascii="Calibri" w:hAnsi="Calibri" w:cs="Calibri"/>
                <w:color w:val="000000"/>
              </w:rPr>
              <w:t>angled triangle</w:t>
            </w:r>
          </w:p>
        </w:tc>
        <w:tc>
          <w:tcPr>
            <w:tcW w:w="755" w:type="pct"/>
          </w:tcPr>
          <w:p w14:paraId="5E0DA5E3"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5975A4" w:rsidRPr="00D76A23" w:rsidRDefault="005975A4" w:rsidP="005975A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182DD407" w14:textId="3297C639" w:rsidTr="005975A4">
        <w:trPr>
          <w:trHeight w:val="885"/>
          <w:jc w:val="center"/>
        </w:trPr>
        <w:tc>
          <w:tcPr>
            <w:tcW w:w="220" w:type="pct"/>
            <w:shd w:val="clear" w:color="000000" w:fill="FFFFFF"/>
            <w:vAlign w:val="center"/>
          </w:tcPr>
          <w:p w14:paraId="4B91520C" w14:textId="733C22C2"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nil"/>
              <w:left w:val="single" w:sz="12" w:space="0" w:color="auto"/>
              <w:bottom w:val="single" w:sz="12" w:space="0" w:color="auto"/>
              <w:right w:val="nil"/>
            </w:tcBorders>
            <w:shd w:val="clear" w:color="000000" w:fill="C6E0B4"/>
            <w:noWrap/>
            <w:vAlign w:val="center"/>
          </w:tcPr>
          <w:p w14:paraId="21057BD1" w14:textId="14977D25"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6A6BB227" w14:textId="12A8A54C"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choose appropriate trigonometric relationships to use to solve problems in right-angled triangles</w:t>
            </w:r>
          </w:p>
        </w:tc>
        <w:tc>
          <w:tcPr>
            <w:tcW w:w="755" w:type="pct"/>
          </w:tcPr>
          <w:p w14:paraId="75F11CA3"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5975A4" w:rsidRPr="00D76A23" w:rsidRDefault="005975A4" w:rsidP="005975A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381B7F2A" w14:textId="599C9EF1" w:rsidTr="00E43CF8">
        <w:trPr>
          <w:trHeight w:val="620"/>
          <w:jc w:val="center"/>
        </w:trPr>
        <w:tc>
          <w:tcPr>
            <w:tcW w:w="220" w:type="pct"/>
            <w:shd w:val="clear" w:color="000000" w:fill="FFFFFF"/>
            <w:vAlign w:val="center"/>
          </w:tcPr>
          <w:p w14:paraId="312BD388" w14:textId="1E5302D4"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nil"/>
              <w:left w:val="single" w:sz="12" w:space="0" w:color="auto"/>
              <w:bottom w:val="single" w:sz="12" w:space="0" w:color="auto"/>
              <w:right w:val="nil"/>
            </w:tcBorders>
            <w:shd w:val="clear" w:color="000000" w:fill="C6E0B4"/>
            <w:noWrap/>
            <w:vAlign w:val="center"/>
          </w:tcPr>
          <w:p w14:paraId="795ECAB7" w14:textId="6ADA1891"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4493C52B" w14:textId="4BED6936"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 fraction of a given amount</w:t>
            </w:r>
          </w:p>
        </w:tc>
        <w:tc>
          <w:tcPr>
            <w:tcW w:w="755" w:type="pct"/>
          </w:tcPr>
          <w:p w14:paraId="01FEBC50"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5975A4" w:rsidRPr="00D76A23" w:rsidRDefault="005975A4" w:rsidP="005975A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45D30844" w14:textId="465AF19A" w:rsidTr="005975A4">
        <w:trPr>
          <w:trHeight w:val="809"/>
          <w:jc w:val="center"/>
        </w:trPr>
        <w:tc>
          <w:tcPr>
            <w:tcW w:w="220" w:type="pct"/>
            <w:shd w:val="clear" w:color="000000" w:fill="FFFFFF"/>
            <w:noWrap/>
            <w:vAlign w:val="center"/>
          </w:tcPr>
          <w:p w14:paraId="11EA336B" w14:textId="2E21CAE1"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nil"/>
              <w:left w:val="single" w:sz="12" w:space="0" w:color="auto"/>
              <w:bottom w:val="single" w:sz="12" w:space="0" w:color="auto"/>
              <w:right w:val="nil"/>
            </w:tcBorders>
            <w:shd w:val="clear" w:color="000000" w:fill="C6E0B4"/>
            <w:noWrap/>
            <w:vAlign w:val="center"/>
          </w:tcPr>
          <w:p w14:paraId="60C35C72" w14:textId="6DEA243E"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41BE73AE" w14:textId="4A7D4061"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 percentage multiplier to increase or decrease an amount by a given percentage</w:t>
            </w:r>
          </w:p>
        </w:tc>
        <w:tc>
          <w:tcPr>
            <w:tcW w:w="755" w:type="pct"/>
          </w:tcPr>
          <w:p w14:paraId="05659086"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5975A4" w:rsidRPr="00D76A23" w:rsidRDefault="005975A4" w:rsidP="005975A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1C2CEDAC" w14:textId="43776727" w:rsidTr="005975A4">
        <w:trPr>
          <w:trHeight w:val="779"/>
          <w:jc w:val="center"/>
        </w:trPr>
        <w:tc>
          <w:tcPr>
            <w:tcW w:w="220" w:type="pct"/>
            <w:shd w:val="clear" w:color="000000" w:fill="FFFFFF"/>
            <w:vAlign w:val="center"/>
          </w:tcPr>
          <w:p w14:paraId="4BF0EDF9" w14:textId="452C0737"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nil"/>
              <w:left w:val="single" w:sz="12" w:space="0" w:color="auto"/>
              <w:bottom w:val="single" w:sz="12" w:space="0" w:color="auto"/>
              <w:right w:val="nil"/>
            </w:tcBorders>
            <w:shd w:val="clear" w:color="000000" w:fill="C6E0B4"/>
            <w:noWrap/>
            <w:vAlign w:val="center"/>
          </w:tcPr>
          <w:p w14:paraId="74E6380E" w14:textId="421BABC5"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3F015FAE" w14:textId="3A9978F0"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an original amount given the new amount after a percentage increase or decrease</w:t>
            </w:r>
          </w:p>
        </w:tc>
        <w:tc>
          <w:tcPr>
            <w:tcW w:w="755" w:type="pct"/>
          </w:tcPr>
          <w:p w14:paraId="7B468D5F"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5975A4" w:rsidRPr="00D76A23" w:rsidRDefault="005975A4" w:rsidP="005975A4">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728EE60D" w14:textId="071B5C43" w:rsidTr="005975A4">
        <w:trPr>
          <w:trHeight w:val="863"/>
          <w:jc w:val="center"/>
        </w:trPr>
        <w:tc>
          <w:tcPr>
            <w:tcW w:w="220" w:type="pct"/>
            <w:shd w:val="clear" w:color="000000" w:fill="FFFFFF"/>
            <w:vAlign w:val="center"/>
          </w:tcPr>
          <w:p w14:paraId="7918CF5B" w14:textId="1446AA51"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nil"/>
              <w:left w:val="single" w:sz="12" w:space="0" w:color="auto"/>
              <w:bottom w:val="single" w:sz="12" w:space="0" w:color="auto"/>
              <w:right w:val="nil"/>
            </w:tcBorders>
            <w:shd w:val="clear" w:color="000000" w:fill="C6E0B4"/>
            <w:noWrap/>
            <w:vAlign w:val="center"/>
          </w:tcPr>
          <w:p w14:paraId="47D7D3B7" w14:textId="2CC156E5"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3DE1DE7C" w14:textId="102F6284"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the percentage change between two amounts</w:t>
            </w:r>
          </w:p>
        </w:tc>
        <w:tc>
          <w:tcPr>
            <w:tcW w:w="755" w:type="pct"/>
          </w:tcPr>
          <w:p w14:paraId="1D210E12"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5975A4" w:rsidRPr="00D76A23" w:rsidRDefault="005975A4" w:rsidP="005975A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121309D9" w14:textId="0EF5C9CA" w:rsidTr="005975A4">
        <w:trPr>
          <w:trHeight w:val="981"/>
          <w:jc w:val="center"/>
        </w:trPr>
        <w:tc>
          <w:tcPr>
            <w:tcW w:w="220" w:type="pct"/>
            <w:shd w:val="clear" w:color="000000" w:fill="FFFFFF"/>
            <w:vAlign w:val="center"/>
          </w:tcPr>
          <w:p w14:paraId="02A6A266" w14:textId="6F00C715"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nil"/>
              <w:left w:val="single" w:sz="12" w:space="0" w:color="auto"/>
              <w:bottom w:val="single" w:sz="12" w:space="0" w:color="auto"/>
              <w:right w:val="nil"/>
            </w:tcBorders>
            <w:shd w:val="clear" w:color="000000" w:fill="C6E0B4"/>
            <w:noWrap/>
            <w:vAlign w:val="center"/>
          </w:tcPr>
          <w:p w14:paraId="4DB0DE66" w14:textId="04E314D5"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1550C381" w14:textId="16A2EFAC"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share an amount into a given ratio</w:t>
            </w:r>
          </w:p>
        </w:tc>
        <w:tc>
          <w:tcPr>
            <w:tcW w:w="755" w:type="pct"/>
          </w:tcPr>
          <w:p w14:paraId="14166C59"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5975A4" w:rsidRPr="00D76A23" w:rsidRDefault="005975A4" w:rsidP="005975A4">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33B3875F" w14:textId="77777777" w:rsidTr="005975A4">
        <w:trPr>
          <w:trHeight w:val="825"/>
          <w:jc w:val="center"/>
        </w:trPr>
        <w:tc>
          <w:tcPr>
            <w:tcW w:w="220" w:type="pct"/>
            <w:shd w:val="clear" w:color="000000" w:fill="FFFFFF"/>
            <w:vAlign w:val="center"/>
          </w:tcPr>
          <w:p w14:paraId="6D75FD40" w14:textId="55878359" w:rsidR="005975A4"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nil"/>
              <w:left w:val="single" w:sz="12" w:space="0" w:color="auto"/>
              <w:bottom w:val="single" w:sz="12" w:space="0" w:color="auto"/>
              <w:right w:val="nil"/>
            </w:tcBorders>
            <w:shd w:val="clear" w:color="000000" w:fill="C6E0B4"/>
            <w:noWrap/>
            <w:vAlign w:val="center"/>
          </w:tcPr>
          <w:p w14:paraId="62817A88" w14:textId="03D1471F"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single" w:sz="4" w:space="0" w:color="auto"/>
              <w:bottom w:val="single" w:sz="4" w:space="0" w:color="auto"/>
              <w:right w:val="single" w:sz="4" w:space="0" w:color="auto"/>
            </w:tcBorders>
            <w:shd w:val="clear" w:color="auto" w:fill="auto"/>
            <w:vAlign w:val="center"/>
          </w:tcPr>
          <w:p w14:paraId="1C469E08" w14:textId="5C9071D8"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 part given another part of a ratio</w:t>
            </w:r>
          </w:p>
        </w:tc>
        <w:tc>
          <w:tcPr>
            <w:tcW w:w="755" w:type="pct"/>
          </w:tcPr>
          <w:p w14:paraId="5C295E97"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5975A4" w:rsidRPr="00D76A23" w:rsidRDefault="005975A4" w:rsidP="005975A4">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96"/>
        <w:gridCol w:w="2036"/>
        <w:gridCol w:w="2094"/>
        <w:gridCol w:w="2178"/>
        <w:gridCol w:w="1810"/>
      </w:tblGrid>
      <w:tr w:rsidR="00825AD5" w:rsidRPr="001B0CDB" w14:paraId="4A03E27A" w14:textId="77777777" w:rsidTr="00825AD5">
        <w:trPr>
          <w:trHeight w:val="466"/>
        </w:trPr>
        <w:tc>
          <w:tcPr>
            <w:tcW w:w="2396" w:type="dxa"/>
          </w:tcPr>
          <w:p w14:paraId="6F777B50" w14:textId="77F0DF3A" w:rsidR="00825AD5" w:rsidRPr="001B0CDB" w:rsidRDefault="00CF7B8B" w:rsidP="00825AD5">
            <w:pPr>
              <w:rPr>
                <w:rFonts w:ascii="Verdana" w:hAnsi="Verdana"/>
                <w:sz w:val="24"/>
                <w:szCs w:val="24"/>
              </w:rPr>
            </w:pPr>
            <w:r>
              <w:rPr>
                <w:rFonts w:ascii="Verdana" w:hAnsi="Verdana"/>
                <w:sz w:val="24"/>
                <w:szCs w:val="24"/>
              </w:rPr>
              <w:t xml:space="preserve">Congruent </w:t>
            </w:r>
          </w:p>
        </w:tc>
        <w:tc>
          <w:tcPr>
            <w:tcW w:w="2036" w:type="dxa"/>
          </w:tcPr>
          <w:p w14:paraId="55C298C8" w14:textId="79E95148" w:rsidR="00825AD5" w:rsidRPr="001B0CDB" w:rsidRDefault="00CF7B8B" w:rsidP="00825AD5">
            <w:pPr>
              <w:rPr>
                <w:rFonts w:ascii="Verdana" w:hAnsi="Verdana"/>
                <w:sz w:val="24"/>
                <w:szCs w:val="24"/>
              </w:rPr>
            </w:pPr>
            <w:r>
              <w:rPr>
                <w:rFonts w:ascii="Verdana" w:hAnsi="Verdana"/>
                <w:sz w:val="24"/>
                <w:szCs w:val="24"/>
              </w:rPr>
              <w:t xml:space="preserve">Similar </w:t>
            </w:r>
          </w:p>
        </w:tc>
        <w:tc>
          <w:tcPr>
            <w:tcW w:w="2094" w:type="dxa"/>
          </w:tcPr>
          <w:p w14:paraId="256C2014" w14:textId="654DA08F" w:rsidR="00825AD5" w:rsidRPr="001B0CDB" w:rsidRDefault="00703FB1" w:rsidP="00825AD5">
            <w:pPr>
              <w:rPr>
                <w:rFonts w:ascii="Verdana" w:hAnsi="Verdana"/>
                <w:sz w:val="24"/>
                <w:szCs w:val="24"/>
              </w:rPr>
            </w:pPr>
            <w:r>
              <w:rPr>
                <w:rFonts w:ascii="Verdana" w:hAnsi="Verdana"/>
                <w:sz w:val="24"/>
                <w:szCs w:val="24"/>
              </w:rPr>
              <w:t>Parallel</w:t>
            </w:r>
          </w:p>
        </w:tc>
        <w:tc>
          <w:tcPr>
            <w:tcW w:w="2178" w:type="dxa"/>
          </w:tcPr>
          <w:p w14:paraId="40175690" w14:textId="03F121AD" w:rsidR="00825AD5" w:rsidRPr="001B0CDB" w:rsidRDefault="00703FB1" w:rsidP="00825AD5">
            <w:pPr>
              <w:rPr>
                <w:rFonts w:ascii="Verdana" w:hAnsi="Verdana"/>
                <w:sz w:val="24"/>
                <w:szCs w:val="24"/>
              </w:rPr>
            </w:pPr>
            <w:r>
              <w:rPr>
                <w:rFonts w:ascii="Verdana" w:hAnsi="Verdana"/>
                <w:sz w:val="24"/>
                <w:szCs w:val="24"/>
              </w:rPr>
              <w:t>Supplementary</w:t>
            </w:r>
          </w:p>
        </w:tc>
        <w:tc>
          <w:tcPr>
            <w:tcW w:w="1810" w:type="dxa"/>
          </w:tcPr>
          <w:p w14:paraId="5A60AE19" w14:textId="4EB45D2F" w:rsidR="00825AD5" w:rsidRPr="001B0CDB" w:rsidRDefault="00703FB1" w:rsidP="00825AD5">
            <w:pPr>
              <w:rPr>
                <w:rFonts w:ascii="Verdana" w:hAnsi="Verdana"/>
                <w:sz w:val="24"/>
                <w:szCs w:val="24"/>
              </w:rPr>
            </w:pPr>
            <w:r>
              <w:rPr>
                <w:rFonts w:ascii="Verdana" w:hAnsi="Verdana"/>
                <w:sz w:val="24"/>
                <w:szCs w:val="24"/>
              </w:rPr>
              <w:t>Hypotenuse</w:t>
            </w:r>
          </w:p>
        </w:tc>
      </w:tr>
      <w:tr w:rsidR="00825AD5" w:rsidRPr="001B0CDB" w14:paraId="0B15E59C" w14:textId="77777777" w:rsidTr="00825AD5">
        <w:trPr>
          <w:trHeight w:val="466"/>
        </w:trPr>
        <w:tc>
          <w:tcPr>
            <w:tcW w:w="2396" w:type="dxa"/>
          </w:tcPr>
          <w:p w14:paraId="121443A8" w14:textId="16D0E726" w:rsidR="00825AD5" w:rsidRPr="001B0CDB" w:rsidRDefault="00703FB1" w:rsidP="00825AD5">
            <w:pPr>
              <w:rPr>
                <w:rFonts w:ascii="Verdana" w:hAnsi="Verdana"/>
                <w:sz w:val="24"/>
                <w:szCs w:val="24"/>
              </w:rPr>
            </w:pPr>
            <w:r>
              <w:rPr>
                <w:rFonts w:ascii="Verdana" w:hAnsi="Verdana"/>
                <w:sz w:val="24"/>
                <w:szCs w:val="24"/>
              </w:rPr>
              <w:t>Multiplier</w:t>
            </w:r>
          </w:p>
        </w:tc>
        <w:tc>
          <w:tcPr>
            <w:tcW w:w="2036" w:type="dxa"/>
          </w:tcPr>
          <w:p w14:paraId="2E7435A3" w14:textId="0F72E4F3" w:rsidR="00825AD5" w:rsidRPr="001B0CDB" w:rsidRDefault="00703FB1" w:rsidP="00825AD5">
            <w:pPr>
              <w:rPr>
                <w:rFonts w:ascii="Verdana" w:hAnsi="Verdana"/>
                <w:sz w:val="24"/>
                <w:szCs w:val="24"/>
              </w:rPr>
            </w:pPr>
            <w:r>
              <w:rPr>
                <w:rFonts w:ascii="Verdana" w:hAnsi="Verdana"/>
                <w:sz w:val="24"/>
                <w:szCs w:val="24"/>
              </w:rPr>
              <w:t>Numerator</w:t>
            </w:r>
          </w:p>
        </w:tc>
        <w:tc>
          <w:tcPr>
            <w:tcW w:w="2094" w:type="dxa"/>
          </w:tcPr>
          <w:p w14:paraId="3B3A6B22" w14:textId="6E24D97B" w:rsidR="00825AD5" w:rsidRPr="001B0CDB" w:rsidRDefault="00703FB1" w:rsidP="00825AD5">
            <w:pPr>
              <w:rPr>
                <w:rFonts w:ascii="Verdana" w:hAnsi="Verdana"/>
                <w:sz w:val="24"/>
                <w:szCs w:val="24"/>
              </w:rPr>
            </w:pPr>
            <w:r>
              <w:rPr>
                <w:rFonts w:ascii="Verdana" w:hAnsi="Verdana"/>
                <w:sz w:val="24"/>
                <w:szCs w:val="24"/>
              </w:rPr>
              <w:t xml:space="preserve">Denominator </w:t>
            </w:r>
          </w:p>
        </w:tc>
        <w:tc>
          <w:tcPr>
            <w:tcW w:w="2178" w:type="dxa"/>
          </w:tcPr>
          <w:p w14:paraId="4B2CC4AD" w14:textId="3C128EA3" w:rsidR="00825AD5" w:rsidRPr="001B0CDB" w:rsidRDefault="00703FB1" w:rsidP="00825AD5">
            <w:pPr>
              <w:rPr>
                <w:rFonts w:ascii="Verdana" w:hAnsi="Verdana"/>
                <w:sz w:val="24"/>
                <w:szCs w:val="24"/>
              </w:rPr>
            </w:pPr>
            <w:r>
              <w:rPr>
                <w:rFonts w:ascii="Verdana" w:hAnsi="Verdana"/>
                <w:sz w:val="24"/>
                <w:szCs w:val="24"/>
              </w:rPr>
              <w:t>Increase</w:t>
            </w:r>
          </w:p>
        </w:tc>
        <w:tc>
          <w:tcPr>
            <w:tcW w:w="1810" w:type="dxa"/>
          </w:tcPr>
          <w:p w14:paraId="0F820C13" w14:textId="5C46421E" w:rsidR="00825AD5" w:rsidRPr="001B0CDB" w:rsidRDefault="00703FB1" w:rsidP="00825AD5">
            <w:pPr>
              <w:rPr>
                <w:rFonts w:ascii="Verdana" w:hAnsi="Verdana"/>
                <w:sz w:val="24"/>
                <w:szCs w:val="24"/>
              </w:rPr>
            </w:pPr>
            <w:r>
              <w:rPr>
                <w:rFonts w:ascii="Verdana" w:hAnsi="Verdana"/>
                <w:sz w:val="24"/>
                <w:szCs w:val="24"/>
              </w:rPr>
              <w:t>Decrease</w:t>
            </w:r>
          </w:p>
        </w:tc>
      </w:tr>
    </w:tbl>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E43CF8">
        <w:trPr>
          <w:trHeight w:val="4261"/>
        </w:trPr>
        <w:tc>
          <w:tcPr>
            <w:tcW w:w="10485" w:type="dxa"/>
          </w:tcPr>
          <w:p w14:paraId="79796432" w14:textId="77777777" w:rsidR="00E43CF8" w:rsidRPr="00E43CF8" w:rsidRDefault="00E43CF8" w:rsidP="00E43CF8">
            <w:pPr>
              <w:pStyle w:val="Heading1"/>
              <w:shd w:val="clear" w:color="auto" w:fill="FCFCFC"/>
              <w:spacing w:before="0" w:after="240"/>
              <w:outlineLvl w:val="0"/>
              <w:rPr>
                <w:rStyle w:val="field"/>
                <w:rFonts w:ascii="PT Sans" w:hAnsi="PT Sans"/>
                <w:color w:val="404040"/>
                <w:sz w:val="10"/>
                <w:szCs w:val="10"/>
              </w:rPr>
            </w:pPr>
          </w:p>
          <w:p w14:paraId="4804DDA9" w14:textId="4105CB2C" w:rsidR="00E43CF8" w:rsidRPr="00E43CF8" w:rsidRDefault="00E43CF8" w:rsidP="00E43CF8">
            <w:pPr>
              <w:pStyle w:val="Heading1"/>
              <w:shd w:val="clear" w:color="auto" w:fill="FCFCFC"/>
              <w:spacing w:before="0" w:after="240"/>
              <w:outlineLvl w:val="0"/>
              <w:rPr>
                <w:rFonts w:ascii="PT Sans" w:hAnsi="PT Sans"/>
                <w:b/>
                <w:bCs/>
                <w:color w:val="404040"/>
                <w:sz w:val="28"/>
                <w:szCs w:val="28"/>
              </w:rPr>
            </w:pPr>
            <w:r w:rsidRPr="00E43CF8">
              <w:rPr>
                <w:rStyle w:val="field"/>
                <w:rFonts w:ascii="PT Sans" w:hAnsi="PT Sans"/>
                <w:b/>
                <w:bCs/>
                <w:color w:val="404040"/>
                <w:sz w:val="28"/>
                <w:szCs w:val="28"/>
              </w:rPr>
              <w:t>Euclid's Window: The Story of Geometry from Parallel Lines to Hyperspace</w:t>
            </w:r>
          </w:p>
          <w:p w14:paraId="6E080D99" w14:textId="299158B5" w:rsidR="00E43CF8" w:rsidRPr="00E43CF8" w:rsidRDefault="00E43CF8" w:rsidP="00E43CF8">
            <w:pPr>
              <w:shd w:val="clear" w:color="auto" w:fill="FCFCFC"/>
              <w:textAlignment w:val="top"/>
              <w:rPr>
                <w:rFonts w:ascii="PT Sans" w:eastAsia="Times New Roman" w:hAnsi="PT Sans" w:cs="Times New Roman"/>
                <w:b/>
                <w:bCs/>
                <w:color w:val="404040"/>
                <w:sz w:val="24"/>
                <w:szCs w:val="24"/>
                <w:lang w:eastAsia="en-GB"/>
              </w:rPr>
            </w:pPr>
            <w:r w:rsidRPr="00E43CF8">
              <w:rPr>
                <w:rFonts w:ascii="PT Sans" w:eastAsia="Times New Roman" w:hAnsi="PT Sans" w:cs="Times New Roman"/>
                <w:b/>
                <w:bCs/>
                <w:color w:val="404040"/>
                <w:sz w:val="24"/>
                <w:szCs w:val="24"/>
                <w:lang w:eastAsia="en-GB"/>
              </w:rPr>
              <w:t>Author</w:t>
            </w:r>
          </w:p>
          <w:p w14:paraId="45FE9F84" w14:textId="77777777" w:rsidR="00E43CF8" w:rsidRPr="00E43CF8" w:rsidRDefault="00E43CF8" w:rsidP="00E43CF8">
            <w:pPr>
              <w:shd w:val="clear" w:color="auto" w:fill="FCFCFC"/>
              <w:textAlignment w:val="top"/>
              <w:rPr>
                <w:rFonts w:ascii="PT Sans" w:eastAsia="Times New Roman" w:hAnsi="PT Sans" w:cs="Times New Roman"/>
                <w:color w:val="404040"/>
                <w:sz w:val="24"/>
                <w:szCs w:val="24"/>
                <w:lang w:eastAsia="en-GB"/>
              </w:rPr>
            </w:pPr>
            <w:r w:rsidRPr="00E43CF8">
              <w:rPr>
                <w:rFonts w:ascii="PT Sans" w:eastAsia="Times New Roman" w:hAnsi="PT Sans" w:cs="Times New Roman"/>
                <w:color w:val="404040"/>
                <w:sz w:val="24"/>
                <w:szCs w:val="24"/>
                <w:lang w:eastAsia="en-GB"/>
              </w:rPr>
              <w:t xml:space="preserve">Leonard </w:t>
            </w:r>
            <w:proofErr w:type="spellStart"/>
            <w:r w:rsidRPr="00E43CF8">
              <w:rPr>
                <w:rFonts w:ascii="PT Sans" w:eastAsia="Times New Roman" w:hAnsi="PT Sans" w:cs="Times New Roman"/>
                <w:color w:val="404040"/>
                <w:sz w:val="24"/>
                <w:szCs w:val="24"/>
                <w:lang w:eastAsia="en-GB"/>
              </w:rPr>
              <w:t>Mlodinow</w:t>
            </w:r>
            <w:proofErr w:type="spellEnd"/>
          </w:p>
          <w:p w14:paraId="307B4955" w14:textId="3ABC6E3A" w:rsidR="00E43CF8" w:rsidRPr="00E43CF8" w:rsidRDefault="00E43CF8" w:rsidP="00E43CF8">
            <w:pPr>
              <w:shd w:val="clear" w:color="auto" w:fill="FCFCFC"/>
              <w:spacing w:before="100" w:beforeAutospacing="1"/>
              <w:rPr>
                <w:rFonts w:ascii="PT Sans" w:eastAsia="Times New Roman" w:hAnsi="PT Sans" w:cs="Times New Roman"/>
                <w:color w:val="404040"/>
                <w:sz w:val="24"/>
                <w:szCs w:val="24"/>
                <w:lang w:eastAsia="en-GB"/>
              </w:rPr>
            </w:pPr>
            <w:r w:rsidRPr="00E43CF8">
              <w:rPr>
                <w:rFonts w:ascii="PT Sans" w:eastAsia="Times New Roman" w:hAnsi="PT Sans" w:cs="Times New Roman"/>
                <w:color w:val="404040"/>
                <w:sz w:val="24"/>
                <w:szCs w:val="24"/>
                <w:lang w:eastAsia="en-GB"/>
              </w:rPr>
              <w:t>Anyone who thought geometry was boring or dry should prepare to be amazed. Despite its worthy cover this book is exactly what its title says - a story - and the plot of this story involves life, death and revolutions of understanding and belief. It stars the some of the most famous names in history, from Euclid who laid the logical foundations, to Albert Einstein, who united space and time in a single non-Euclidean geometry. It offers an alternative history of mathematics, revealing how simple questions anyone might ask about space - in the living room or in some other galaxy - have been the hidden engines of the highest achievements in science and technology.</w:t>
            </w:r>
            <w:r w:rsidR="00DC2954">
              <w:rPr>
                <w:rFonts w:ascii="PT Sans" w:eastAsia="Times New Roman" w:hAnsi="PT Sans" w:cs="Times New Roman"/>
                <w:color w:val="404040"/>
                <w:sz w:val="24"/>
                <w:szCs w:val="24"/>
                <w:lang w:eastAsia="en-GB"/>
              </w:rPr>
              <w:t xml:space="preserve"> </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076164"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076164"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076164"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076164"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076164"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076164"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076164"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076164"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076164"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076164"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B740A5C" w14:textId="2DBE62C9" w:rsidR="00C96046" w:rsidRDefault="00C96046" w:rsidP="0074569D">
      <w:pPr>
        <w:rPr>
          <w:sz w:val="32"/>
          <w:szCs w:val="32"/>
        </w:rPr>
      </w:pPr>
    </w:p>
    <w:p w14:paraId="7BE07A21" w14:textId="77777777" w:rsidR="00C96046" w:rsidRPr="00014922" w:rsidRDefault="00C96046" w:rsidP="0074569D">
      <w:pPr>
        <w:rPr>
          <w:sz w:val="32"/>
          <w:szCs w:val="32"/>
        </w:rPr>
      </w:pPr>
    </w:p>
    <w:sectPr w:rsidR="00C96046" w:rsidRPr="00014922"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76164"/>
    <w:rsid w:val="000D1F7C"/>
    <w:rsid w:val="000E349C"/>
    <w:rsid w:val="001139DF"/>
    <w:rsid w:val="00152E58"/>
    <w:rsid w:val="001B080A"/>
    <w:rsid w:val="001B0CDB"/>
    <w:rsid w:val="001E615B"/>
    <w:rsid w:val="00241770"/>
    <w:rsid w:val="002A7367"/>
    <w:rsid w:val="003144AD"/>
    <w:rsid w:val="00330A91"/>
    <w:rsid w:val="004141AA"/>
    <w:rsid w:val="004212E6"/>
    <w:rsid w:val="0044451F"/>
    <w:rsid w:val="00455F38"/>
    <w:rsid w:val="004E508E"/>
    <w:rsid w:val="0055131B"/>
    <w:rsid w:val="005975A4"/>
    <w:rsid w:val="005B34CD"/>
    <w:rsid w:val="005C2ADA"/>
    <w:rsid w:val="005C491C"/>
    <w:rsid w:val="00600D14"/>
    <w:rsid w:val="006012BB"/>
    <w:rsid w:val="006E3556"/>
    <w:rsid w:val="00703FB1"/>
    <w:rsid w:val="0074569D"/>
    <w:rsid w:val="00773CFD"/>
    <w:rsid w:val="00783A14"/>
    <w:rsid w:val="007E5C02"/>
    <w:rsid w:val="0082039C"/>
    <w:rsid w:val="00825AD5"/>
    <w:rsid w:val="00831BCF"/>
    <w:rsid w:val="008D477B"/>
    <w:rsid w:val="008F6C26"/>
    <w:rsid w:val="00920585"/>
    <w:rsid w:val="009352F5"/>
    <w:rsid w:val="009C031C"/>
    <w:rsid w:val="009D0BFB"/>
    <w:rsid w:val="00A00785"/>
    <w:rsid w:val="00A359BE"/>
    <w:rsid w:val="00A64F1E"/>
    <w:rsid w:val="00AD03F7"/>
    <w:rsid w:val="00AF4C1A"/>
    <w:rsid w:val="00B00A2E"/>
    <w:rsid w:val="00B245FA"/>
    <w:rsid w:val="00B71289"/>
    <w:rsid w:val="00C20CB3"/>
    <w:rsid w:val="00C3725F"/>
    <w:rsid w:val="00C4516B"/>
    <w:rsid w:val="00C9000C"/>
    <w:rsid w:val="00C96046"/>
    <w:rsid w:val="00C96B26"/>
    <w:rsid w:val="00CD4D82"/>
    <w:rsid w:val="00CD7EAA"/>
    <w:rsid w:val="00CF7B8B"/>
    <w:rsid w:val="00D008D5"/>
    <w:rsid w:val="00D76A23"/>
    <w:rsid w:val="00D80643"/>
    <w:rsid w:val="00D944D3"/>
    <w:rsid w:val="00DC2954"/>
    <w:rsid w:val="00DF0323"/>
    <w:rsid w:val="00E07FDF"/>
    <w:rsid w:val="00E2643B"/>
    <w:rsid w:val="00E43CF8"/>
    <w:rsid w:val="00E619DD"/>
    <w:rsid w:val="00EF228C"/>
    <w:rsid w:val="00EF71F1"/>
    <w:rsid w:val="00F04698"/>
    <w:rsid w:val="00F44C54"/>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3C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E43CF8"/>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E43C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99665174">
      <w:bodyDiv w:val="1"/>
      <w:marLeft w:val="0"/>
      <w:marRight w:val="0"/>
      <w:marTop w:val="0"/>
      <w:marBottom w:val="0"/>
      <w:divBdr>
        <w:top w:val="none" w:sz="0" w:space="0" w:color="auto"/>
        <w:left w:val="none" w:sz="0" w:space="0" w:color="auto"/>
        <w:bottom w:val="none" w:sz="0" w:space="0" w:color="auto"/>
        <w:right w:val="none" w:sz="0" w:space="0" w:color="auto"/>
      </w:divBdr>
      <w:divsChild>
        <w:div w:id="262568113">
          <w:marLeft w:val="0"/>
          <w:marRight w:val="0"/>
          <w:marTop w:val="240"/>
          <w:marBottom w:val="0"/>
          <w:divBdr>
            <w:top w:val="none" w:sz="0" w:space="0" w:color="auto"/>
            <w:left w:val="none" w:sz="0" w:space="0" w:color="auto"/>
            <w:bottom w:val="none" w:sz="0" w:space="0" w:color="auto"/>
            <w:right w:val="none" w:sz="0" w:space="0" w:color="auto"/>
          </w:divBdr>
          <w:divsChild>
            <w:div w:id="998456855">
              <w:marLeft w:val="0"/>
              <w:marRight w:val="0"/>
              <w:marTop w:val="0"/>
              <w:marBottom w:val="0"/>
              <w:divBdr>
                <w:top w:val="none" w:sz="0" w:space="0" w:color="auto"/>
                <w:left w:val="none" w:sz="0" w:space="0" w:color="auto"/>
                <w:bottom w:val="none" w:sz="0" w:space="0" w:color="auto"/>
                <w:right w:val="none" w:sz="0" w:space="0" w:color="auto"/>
              </w:divBdr>
            </w:div>
            <w:div w:id="2145584452">
              <w:marLeft w:val="0"/>
              <w:marRight w:val="0"/>
              <w:marTop w:val="0"/>
              <w:marBottom w:val="0"/>
              <w:divBdr>
                <w:top w:val="none" w:sz="0" w:space="0" w:color="auto"/>
                <w:left w:val="none" w:sz="0" w:space="0" w:color="auto"/>
                <w:bottom w:val="none" w:sz="0" w:space="0" w:color="auto"/>
                <w:right w:val="none" w:sz="0" w:space="0" w:color="auto"/>
              </w:divBdr>
            </w:div>
          </w:divsChild>
        </w:div>
        <w:div w:id="125239812">
          <w:marLeft w:val="0"/>
          <w:marRight w:val="0"/>
          <w:marTop w:val="240"/>
          <w:marBottom w:val="0"/>
          <w:divBdr>
            <w:top w:val="none" w:sz="0" w:space="0" w:color="auto"/>
            <w:left w:val="none" w:sz="0" w:space="0" w:color="auto"/>
            <w:bottom w:val="none" w:sz="0" w:space="0" w:color="auto"/>
            <w:right w:val="none" w:sz="0" w:space="0" w:color="auto"/>
          </w:divBdr>
          <w:divsChild>
            <w:div w:id="1516991315">
              <w:marLeft w:val="0"/>
              <w:marRight w:val="0"/>
              <w:marTop w:val="0"/>
              <w:marBottom w:val="0"/>
              <w:divBdr>
                <w:top w:val="none" w:sz="0" w:space="0" w:color="auto"/>
                <w:left w:val="none" w:sz="0" w:space="0" w:color="auto"/>
                <w:bottom w:val="none" w:sz="0" w:space="0" w:color="auto"/>
                <w:right w:val="none" w:sz="0" w:space="0" w:color="auto"/>
              </w:divBdr>
            </w:div>
            <w:div w:id="1694381817">
              <w:marLeft w:val="0"/>
              <w:marRight w:val="0"/>
              <w:marTop w:val="0"/>
              <w:marBottom w:val="0"/>
              <w:divBdr>
                <w:top w:val="none" w:sz="0" w:space="0" w:color="auto"/>
                <w:left w:val="none" w:sz="0" w:space="0" w:color="auto"/>
                <w:bottom w:val="none" w:sz="0" w:space="0" w:color="auto"/>
                <w:right w:val="none" w:sz="0" w:space="0" w:color="auto"/>
              </w:divBdr>
            </w:div>
          </w:divsChild>
        </w:div>
        <w:div w:id="1616060499">
          <w:marLeft w:val="0"/>
          <w:marRight w:val="0"/>
          <w:marTop w:val="240"/>
          <w:marBottom w:val="0"/>
          <w:divBdr>
            <w:top w:val="none" w:sz="0" w:space="0" w:color="auto"/>
            <w:left w:val="none" w:sz="0" w:space="0" w:color="auto"/>
            <w:bottom w:val="none" w:sz="0" w:space="0" w:color="auto"/>
            <w:right w:val="none" w:sz="0" w:space="0" w:color="auto"/>
          </w:divBdr>
        </w:div>
      </w:divsChild>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845511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691</Words>
  <Characters>3944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Sarah Hully (Kenwood)</cp:lastModifiedBy>
  <cp:revision>2</cp:revision>
  <dcterms:created xsi:type="dcterms:W3CDTF">2025-01-06T09:10:00Z</dcterms:created>
  <dcterms:modified xsi:type="dcterms:W3CDTF">2025-01-06T09:10:00Z</dcterms:modified>
</cp:coreProperties>
</file>