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2D871E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076164">
              <w:rPr>
                <w:rFonts w:ascii="Verdana" w:hAnsi="Verdana"/>
                <w:b/>
                <w:bCs/>
                <w:sz w:val="24"/>
                <w:szCs w:val="24"/>
              </w:rPr>
              <w:t>BR0</w:t>
            </w:r>
            <w:r w:rsidR="00C00C6B">
              <w:rPr>
                <w:rFonts w:ascii="Verdana" w:hAnsi="Verdana"/>
                <w:b/>
                <w:bCs/>
                <w:sz w:val="24"/>
                <w:szCs w:val="24"/>
              </w:rPr>
              <w:t>2</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B11548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75A4">
              <w:rPr>
                <w:rFonts w:ascii="Verdana" w:hAnsi="Verdana"/>
                <w:b/>
                <w:bCs/>
                <w:sz w:val="24"/>
                <w:szCs w:val="24"/>
              </w:rPr>
              <w:t>2</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D89ACB5" w:rsidR="00B245FA" w:rsidRPr="00B245FA" w:rsidRDefault="00076164" w:rsidP="00B245FA">
            <w:pPr>
              <w:rPr>
                <w:rFonts w:ascii="Verdana" w:hAnsi="Verdana"/>
                <w:b/>
                <w:bCs/>
                <w:sz w:val="24"/>
                <w:szCs w:val="24"/>
              </w:rPr>
            </w:pPr>
            <w:r>
              <w:rPr>
                <w:rFonts w:ascii="Verdana" w:hAnsi="Verdana"/>
                <w:b/>
                <w:bCs/>
                <w:sz w:val="24"/>
                <w:szCs w:val="24"/>
              </w:rPr>
              <w:t xml:space="preserve"> Sarah Hully and Ed Kirk</w:t>
            </w:r>
          </w:p>
        </w:tc>
      </w:tr>
      <w:tr w:rsidR="00B245FA" w:rsidRPr="00B245FA" w14:paraId="0B0B2711" w14:textId="77777777" w:rsidTr="001E615B">
        <w:trPr>
          <w:trHeight w:val="483"/>
        </w:trPr>
        <w:tc>
          <w:tcPr>
            <w:tcW w:w="10485" w:type="dxa"/>
            <w:gridSpan w:val="4"/>
          </w:tcPr>
          <w:p w14:paraId="151CC055" w14:textId="31AC9BC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392E23E3"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5975A4">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p>
          <w:p w14:paraId="45E674C4" w14:textId="02976292" w:rsidR="00A00785" w:rsidRPr="001E615B" w:rsidRDefault="00A00785" w:rsidP="00B245FA">
            <w:pPr>
              <w:rPr>
                <w:rFonts w:cstheme="minorHAnsi"/>
                <w:color w:val="002060"/>
              </w:rPr>
            </w:pPr>
            <w:r w:rsidRPr="00E43CF8">
              <w:rPr>
                <w:rFonts w:cstheme="minorHAnsi"/>
                <w:sz w:val="24"/>
                <w:szCs w:val="24"/>
              </w:rPr>
              <w:t>We will be exploring geometry and</w:t>
            </w:r>
            <w:r w:rsidR="00E43CF8" w:rsidRPr="00E43CF8">
              <w:rPr>
                <w:rFonts w:cstheme="minorHAnsi"/>
                <w:sz w:val="24"/>
                <w:szCs w:val="24"/>
              </w:rPr>
              <w:t>,</w:t>
            </w:r>
            <w:r w:rsidRPr="00E43CF8">
              <w:rPr>
                <w:rFonts w:cstheme="minorHAnsi"/>
                <w:sz w:val="24"/>
                <w:szCs w:val="24"/>
              </w:rPr>
              <w:t xml:space="preserve"> ratio and proportion. </w:t>
            </w:r>
            <w:r w:rsidR="00703FB1" w:rsidRPr="00E43CF8">
              <w:rPr>
                <w:rFonts w:cstheme="minorHAnsi"/>
                <w:sz w:val="24"/>
                <w:szCs w:val="24"/>
              </w:rPr>
              <w:t xml:space="preserve">We will explore congruent and similar triangles.  </w:t>
            </w:r>
            <w:r w:rsidRPr="00E43CF8">
              <w:rPr>
                <w:rFonts w:cstheme="minorHAnsi"/>
                <w:sz w:val="24"/>
                <w:szCs w:val="24"/>
              </w:rPr>
              <w:t>We will calculate missing angles including those formed by a transversal and parallel lines.  We will deepen our understanding of right-angled triangles, through Pythagoras’ theorem and trigonometry.  In the 2</w:t>
            </w:r>
            <w:r w:rsidRPr="00E43CF8">
              <w:rPr>
                <w:rFonts w:cstheme="minorHAnsi"/>
                <w:sz w:val="24"/>
                <w:szCs w:val="24"/>
                <w:vertAlign w:val="superscript"/>
              </w:rPr>
              <w:t>nd</w:t>
            </w:r>
            <w:r w:rsidRPr="00E43CF8">
              <w:rPr>
                <w:rFonts w:cstheme="minorHAnsi"/>
                <w:sz w:val="24"/>
                <w:szCs w:val="24"/>
              </w:rPr>
              <w:t xml:space="preserve"> half of the term, we will express values as a fraction and percentage of an amount.  We will also calculate a fraction of an amount.  We will deepen our understanding of percentages, through percentage change and using percentage multipliers to increase or decrease an amount.  Finally, we will share an amount in a given ratio and find a part given another part of a ratio.</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5975A4">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975A4">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5975A4" w:rsidRPr="00D76A23" w14:paraId="23095E5E" w14:textId="4951FCFA" w:rsidTr="00E43CF8">
        <w:trPr>
          <w:trHeight w:val="741"/>
          <w:jc w:val="center"/>
        </w:trPr>
        <w:tc>
          <w:tcPr>
            <w:tcW w:w="220" w:type="pct"/>
            <w:shd w:val="clear" w:color="000000" w:fill="FFFFFF"/>
            <w:vAlign w:val="center"/>
          </w:tcPr>
          <w:p w14:paraId="3A4C31A9" w14:textId="522EA7F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12" w:space="0" w:color="auto"/>
              <w:left w:val="single" w:sz="12" w:space="0" w:color="auto"/>
              <w:bottom w:val="single" w:sz="12" w:space="0" w:color="auto"/>
              <w:right w:val="nil"/>
            </w:tcBorders>
            <w:shd w:val="clear" w:color="000000" w:fill="FF0000"/>
            <w:noWrap/>
            <w:vAlign w:val="center"/>
          </w:tcPr>
          <w:p w14:paraId="1819FA16" w14:textId="639EE5A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61DCCF1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parallel lines and give reasons why</w:t>
            </w:r>
          </w:p>
        </w:tc>
        <w:tc>
          <w:tcPr>
            <w:tcW w:w="755" w:type="pct"/>
          </w:tcPr>
          <w:p w14:paraId="6EB5C03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20E7B2C4" w14:textId="34357C51" w:rsidTr="00E43CF8">
        <w:trPr>
          <w:trHeight w:val="837"/>
          <w:jc w:val="center"/>
        </w:trPr>
        <w:tc>
          <w:tcPr>
            <w:tcW w:w="220" w:type="pct"/>
            <w:shd w:val="clear" w:color="000000" w:fill="FFFFFF"/>
            <w:vAlign w:val="center"/>
          </w:tcPr>
          <w:p w14:paraId="39760F18" w14:textId="742216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12" w:space="0" w:color="auto"/>
              <w:bottom w:val="single" w:sz="12" w:space="0" w:color="auto"/>
              <w:right w:val="nil"/>
            </w:tcBorders>
            <w:shd w:val="clear" w:color="000000" w:fill="FF0000"/>
            <w:noWrap/>
            <w:vAlign w:val="center"/>
          </w:tcPr>
          <w:p w14:paraId="012DE87C" w14:textId="6F02AC7B"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593C8B93" w14:textId="549FCAD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understand and can use the criteria by which triangles are congruent </w:t>
            </w:r>
          </w:p>
        </w:tc>
        <w:tc>
          <w:tcPr>
            <w:tcW w:w="755" w:type="pct"/>
          </w:tcPr>
          <w:p w14:paraId="0AAEA2C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6362422B" w14:textId="084FAD9C" w:rsidTr="00E43CF8">
        <w:trPr>
          <w:trHeight w:val="808"/>
          <w:jc w:val="center"/>
        </w:trPr>
        <w:tc>
          <w:tcPr>
            <w:tcW w:w="220" w:type="pct"/>
            <w:shd w:val="clear" w:color="000000" w:fill="FFFFFF"/>
            <w:vAlign w:val="center"/>
          </w:tcPr>
          <w:p w14:paraId="73C1DD0C" w14:textId="7231E6F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12" w:space="0" w:color="auto"/>
              <w:bottom w:val="single" w:sz="12" w:space="0" w:color="auto"/>
              <w:right w:val="nil"/>
            </w:tcBorders>
            <w:shd w:val="clear" w:color="000000" w:fill="FF0000"/>
            <w:noWrap/>
            <w:vAlign w:val="center"/>
          </w:tcPr>
          <w:p w14:paraId="6F4A1004" w14:textId="11348F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075550A2" w14:textId="292C3A2A"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the Pythagoras theorem to find a missing side in a right</w:t>
            </w:r>
            <w:r w:rsidR="00CF7B8B">
              <w:rPr>
                <w:rFonts w:ascii="Calibri" w:hAnsi="Calibri" w:cs="Calibri"/>
                <w:color w:val="000000"/>
              </w:rPr>
              <w:t>-</w:t>
            </w:r>
            <w:r>
              <w:rPr>
                <w:rFonts w:ascii="Calibri" w:hAnsi="Calibri" w:cs="Calibri"/>
                <w:color w:val="000000"/>
              </w:rPr>
              <w:t>angled triangle</w:t>
            </w:r>
          </w:p>
        </w:tc>
        <w:tc>
          <w:tcPr>
            <w:tcW w:w="755" w:type="pct"/>
          </w:tcPr>
          <w:p w14:paraId="5E0DA5E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82DD407" w14:textId="3297C639" w:rsidTr="005975A4">
        <w:trPr>
          <w:trHeight w:val="885"/>
          <w:jc w:val="center"/>
        </w:trPr>
        <w:tc>
          <w:tcPr>
            <w:tcW w:w="220" w:type="pct"/>
            <w:shd w:val="clear" w:color="000000" w:fill="FFFFFF"/>
            <w:vAlign w:val="center"/>
          </w:tcPr>
          <w:p w14:paraId="4B91520C" w14:textId="733C22C2"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12" w:space="0" w:color="auto"/>
              <w:bottom w:val="single" w:sz="12" w:space="0" w:color="auto"/>
              <w:right w:val="nil"/>
            </w:tcBorders>
            <w:shd w:val="clear" w:color="000000" w:fill="C6E0B4"/>
            <w:noWrap/>
            <w:vAlign w:val="center"/>
          </w:tcPr>
          <w:p w14:paraId="21057BD1" w14:textId="14977D2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6A6BB227" w14:textId="12A8A54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choose appropriate trigonometric relationships to use to solve problems in right-angled triangles</w:t>
            </w:r>
          </w:p>
        </w:tc>
        <w:tc>
          <w:tcPr>
            <w:tcW w:w="755" w:type="pct"/>
          </w:tcPr>
          <w:p w14:paraId="75F11CA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81B7F2A" w14:textId="599C9EF1" w:rsidTr="00E43CF8">
        <w:trPr>
          <w:trHeight w:val="620"/>
          <w:jc w:val="center"/>
        </w:trPr>
        <w:tc>
          <w:tcPr>
            <w:tcW w:w="220" w:type="pct"/>
            <w:shd w:val="clear" w:color="000000" w:fill="FFFFFF"/>
            <w:vAlign w:val="center"/>
          </w:tcPr>
          <w:p w14:paraId="312BD388" w14:textId="1E5302D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12" w:space="0" w:color="auto"/>
              <w:bottom w:val="single" w:sz="12" w:space="0" w:color="auto"/>
              <w:right w:val="nil"/>
            </w:tcBorders>
            <w:shd w:val="clear" w:color="000000" w:fill="C6E0B4"/>
            <w:noWrap/>
            <w:vAlign w:val="center"/>
          </w:tcPr>
          <w:p w14:paraId="795ECAB7" w14:textId="6ADA18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493C52B" w14:textId="4BED6936"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fraction of a given amount</w:t>
            </w:r>
          </w:p>
        </w:tc>
        <w:tc>
          <w:tcPr>
            <w:tcW w:w="755" w:type="pct"/>
          </w:tcPr>
          <w:p w14:paraId="01FEBC5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45D30844" w14:textId="465AF19A" w:rsidTr="005975A4">
        <w:trPr>
          <w:trHeight w:val="809"/>
          <w:jc w:val="center"/>
        </w:trPr>
        <w:tc>
          <w:tcPr>
            <w:tcW w:w="220" w:type="pct"/>
            <w:shd w:val="clear" w:color="000000" w:fill="FFFFFF"/>
            <w:noWrap/>
            <w:vAlign w:val="center"/>
          </w:tcPr>
          <w:p w14:paraId="11EA336B" w14:textId="2E21CAE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12" w:space="0" w:color="auto"/>
              <w:bottom w:val="single" w:sz="12" w:space="0" w:color="auto"/>
              <w:right w:val="nil"/>
            </w:tcBorders>
            <w:shd w:val="clear" w:color="000000" w:fill="C6E0B4"/>
            <w:noWrap/>
            <w:vAlign w:val="center"/>
          </w:tcPr>
          <w:p w14:paraId="60C35C72" w14:textId="6DEA243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1BE73AE" w14:textId="4A7D406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percentage multiplier to increase or decrease an amount by a given percentage</w:t>
            </w:r>
          </w:p>
        </w:tc>
        <w:tc>
          <w:tcPr>
            <w:tcW w:w="755" w:type="pct"/>
          </w:tcPr>
          <w:p w14:paraId="0565908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C2CEDAC" w14:textId="43776727" w:rsidTr="005975A4">
        <w:trPr>
          <w:trHeight w:val="779"/>
          <w:jc w:val="center"/>
        </w:trPr>
        <w:tc>
          <w:tcPr>
            <w:tcW w:w="220" w:type="pct"/>
            <w:shd w:val="clear" w:color="000000" w:fill="FFFFFF"/>
            <w:vAlign w:val="center"/>
          </w:tcPr>
          <w:p w14:paraId="4BF0EDF9" w14:textId="452C0737"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12" w:space="0" w:color="auto"/>
              <w:bottom w:val="single" w:sz="12" w:space="0" w:color="auto"/>
              <w:right w:val="nil"/>
            </w:tcBorders>
            <w:shd w:val="clear" w:color="000000" w:fill="C6E0B4"/>
            <w:noWrap/>
            <w:vAlign w:val="center"/>
          </w:tcPr>
          <w:p w14:paraId="74E6380E" w14:textId="421BABC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F015FAE" w14:textId="3A9978F0"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 original amount given the new amount after a percentage increase or decrease</w:t>
            </w:r>
          </w:p>
        </w:tc>
        <w:tc>
          <w:tcPr>
            <w:tcW w:w="755" w:type="pct"/>
          </w:tcPr>
          <w:p w14:paraId="7B468D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728EE60D" w14:textId="071B5C43" w:rsidTr="005975A4">
        <w:trPr>
          <w:trHeight w:val="863"/>
          <w:jc w:val="center"/>
        </w:trPr>
        <w:tc>
          <w:tcPr>
            <w:tcW w:w="220" w:type="pct"/>
            <w:shd w:val="clear" w:color="000000" w:fill="FFFFFF"/>
            <w:vAlign w:val="center"/>
          </w:tcPr>
          <w:p w14:paraId="7918CF5B" w14:textId="1446AA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12" w:space="0" w:color="auto"/>
              <w:bottom w:val="single" w:sz="12" w:space="0" w:color="auto"/>
              <w:right w:val="nil"/>
            </w:tcBorders>
            <w:shd w:val="clear" w:color="000000" w:fill="C6E0B4"/>
            <w:noWrap/>
            <w:vAlign w:val="center"/>
          </w:tcPr>
          <w:p w14:paraId="47D7D3B7" w14:textId="2CC156E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DE1DE7C" w14:textId="102F628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percentage change between two amounts</w:t>
            </w:r>
          </w:p>
        </w:tc>
        <w:tc>
          <w:tcPr>
            <w:tcW w:w="755" w:type="pct"/>
          </w:tcPr>
          <w:p w14:paraId="1D210E1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21309D9" w14:textId="0EF5C9CA" w:rsidTr="005975A4">
        <w:trPr>
          <w:trHeight w:val="981"/>
          <w:jc w:val="center"/>
        </w:trPr>
        <w:tc>
          <w:tcPr>
            <w:tcW w:w="220" w:type="pct"/>
            <w:shd w:val="clear" w:color="000000" w:fill="FFFFFF"/>
            <w:vAlign w:val="center"/>
          </w:tcPr>
          <w:p w14:paraId="02A6A266" w14:textId="6F00C71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12" w:space="0" w:color="auto"/>
              <w:bottom w:val="single" w:sz="12" w:space="0" w:color="auto"/>
              <w:right w:val="nil"/>
            </w:tcBorders>
            <w:shd w:val="clear" w:color="000000" w:fill="C6E0B4"/>
            <w:noWrap/>
            <w:vAlign w:val="center"/>
          </w:tcPr>
          <w:p w14:paraId="4DB0DE66" w14:textId="04E314D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1550C381" w14:textId="16A2EFA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an amount into a given ratio</w:t>
            </w:r>
          </w:p>
        </w:tc>
        <w:tc>
          <w:tcPr>
            <w:tcW w:w="755" w:type="pct"/>
          </w:tcPr>
          <w:p w14:paraId="14166C5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3B3875F" w14:textId="77777777" w:rsidTr="005975A4">
        <w:trPr>
          <w:trHeight w:val="825"/>
          <w:jc w:val="center"/>
        </w:trPr>
        <w:tc>
          <w:tcPr>
            <w:tcW w:w="220" w:type="pct"/>
            <w:shd w:val="clear" w:color="000000" w:fill="FFFFFF"/>
            <w:vAlign w:val="center"/>
          </w:tcPr>
          <w:p w14:paraId="6D75FD40" w14:textId="55878359" w:rsidR="005975A4"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12" w:space="0" w:color="auto"/>
              <w:bottom w:val="single" w:sz="12" w:space="0" w:color="auto"/>
              <w:right w:val="nil"/>
            </w:tcBorders>
            <w:shd w:val="clear" w:color="000000" w:fill="C6E0B4"/>
            <w:noWrap/>
            <w:vAlign w:val="center"/>
          </w:tcPr>
          <w:p w14:paraId="62817A88" w14:textId="03D1471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auto" w:fill="auto"/>
            <w:vAlign w:val="center"/>
          </w:tcPr>
          <w:p w14:paraId="1C469E08" w14:textId="5C9071D8"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part given another part of a ratio</w:t>
            </w:r>
          </w:p>
        </w:tc>
        <w:tc>
          <w:tcPr>
            <w:tcW w:w="755" w:type="pct"/>
          </w:tcPr>
          <w:p w14:paraId="5C295E9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5975A4" w:rsidRPr="00D76A23" w:rsidRDefault="005975A4" w:rsidP="005975A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7F0DF3A" w:rsidR="00825AD5" w:rsidRPr="001B0CDB" w:rsidRDefault="00CF7B8B" w:rsidP="00825AD5">
            <w:pPr>
              <w:rPr>
                <w:rFonts w:ascii="Verdana" w:hAnsi="Verdana"/>
                <w:sz w:val="24"/>
                <w:szCs w:val="24"/>
              </w:rPr>
            </w:pPr>
            <w:r>
              <w:rPr>
                <w:rFonts w:ascii="Verdana" w:hAnsi="Verdana"/>
                <w:sz w:val="24"/>
                <w:szCs w:val="24"/>
              </w:rPr>
              <w:t xml:space="preserve">Congruent </w:t>
            </w:r>
          </w:p>
        </w:tc>
        <w:tc>
          <w:tcPr>
            <w:tcW w:w="2036" w:type="dxa"/>
          </w:tcPr>
          <w:p w14:paraId="55C298C8" w14:textId="79E95148" w:rsidR="00825AD5" w:rsidRPr="001B0CDB" w:rsidRDefault="00CF7B8B" w:rsidP="00825AD5">
            <w:pPr>
              <w:rPr>
                <w:rFonts w:ascii="Verdana" w:hAnsi="Verdana"/>
                <w:sz w:val="24"/>
                <w:szCs w:val="24"/>
              </w:rPr>
            </w:pPr>
            <w:r>
              <w:rPr>
                <w:rFonts w:ascii="Verdana" w:hAnsi="Verdana"/>
                <w:sz w:val="24"/>
                <w:szCs w:val="24"/>
              </w:rPr>
              <w:t xml:space="preserve">Similar </w:t>
            </w:r>
          </w:p>
        </w:tc>
        <w:tc>
          <w:tcPr>
            <w:tcW w:w="2094" w:type="dxa"/>
          </w:tcPr>
          <w:p w14:paraId="256C2014" w14:textId="654DA08F" w:rsidR="00825AD5" w:rsidRPr="001B0CDB" w:rsidRDefault="00703FB1" w:rsidP="00825AD5">
            <w:pPr>
              <w:rPr>
                <w:rFonts w:ascii="Verdana" w:hAnsi="Verdana"/>
                <w:sz w:val="24"/>
                <w:szCs w:val="24"/>
              </w:rPr>
            </w:pPr>
            <w:r>
              <w:rPr>
                <w:rFonts w:ascii="Verdana" w:hAnsi="Verdana"/>
                <w:sz w:val="24"/>
                <w:szCs w:val="24"/>
              </w:rPr>
              <w:t>Parallel</w:t>
            </w:r>
          </w:p>
        </w:tc>
        <w:tc>
          <w:tcPr>
            <w:tcW w:w="2178" w:type="dxa"/>
          </w:tcPr>
          <w:p w14:paraId="40175690" w14:textId="03F121AD" w:rsidR="00825AD5" w:rsidRPr="001B0CDB" w:rsidRDefault="00703FB1" w:rsidP="00825AD5">
            <w:pPr>
              <w:rPr>
                <w:rFonts w:ascii="Verdana" w:hAnsi="Verdana"/>
                <w:sz w:val="24"/>
                <w:szCs w:val="24"/>
              </w:rPr>
            </w:pPr>
            <w:r>
              <w:rPr>
                <w:rFonts w:ascii="Verdana" w:hAnsi="Verdana"/>
                <w:sz w:val="24"/>
                <w:szCs w:val="24"/>
              </w:rPr>
              <w:t>Supplementary</w:t>
            </w:r>
          </w:p>
        </w:tc>
        <w:tc>
          <w:tcPr>
            <w:tcW w:w="1810" w:type="dxa"/>
          </w:tcPr>
          <w:p w14:paraId="5A60AE19" w14:textId="4EB45D2F" w:rsidR="00825AD5" w:rsidRPr="001B0CDB" w:rsidRDefault="00703FB1" w:rsidP="00825AD5">
            <w:pPr>
              <w:rPr>
                <w:rFonts w:ascii="Verdana" w:hAnsi="Verdana"/>
                <w:sz w:val="24"/>
                <w:szCs w:val="24"/>
              </w:rPr>
            </w:pPr>
            <w:r>
              <w:rPr>
                <w:rFonts w:ascii="Verdana" w:hAnsi="Verdana"/>
                <w:sz w:val="24"/>
                <w:szCs w:val="24"/>
              </w:rPr>
              <w:t>Hypotenuse</w:t>
            </w:r>
          </w:p>
        </w:tc>
      </w:tr>
      <w:tr w:rsidR="00825AD5" w:rsidRPr="001B0CDB" w14:paraId="0B15E59C" w14:textId="77777777" w:rsidTr="00825AD5">
        <w:trPr>
          <w:trHeight w:val="466"/>
        </w:trPr>
        <w:tc>
          <w:tcPr>
            <w:tcW w:w="2396" w:type="dxa"/>
          </w:tcPr>
          <w:p w14:paraId="121443A8" w14:textId="16D0E726" w:rsidR="00825AD5" w:rsidRPr="001B0CDB" w:rsidRDefault="00703FB1" w:rsidP="00825AD5">
            <w:pPr>
              <w:rPr>
                <w:rFonts w:ascii="Verdana" w:hAnsi="Verdana"/>
                <w:sz w:val="24"/>
                <w:szCs w:val="24"/>
              </w:rPr>
            </w:pPr>
            <w:r>
              <w:rPr>
                <w:rFonts w:ascii="Verdana" w:hAnsi="Verdana"/>
                <w:sz w:val="24"/>
                <w:szCs w:val="24"/>
              </w:rPr>
              <w:t>Multiplier</w:t>
            </w:r>
          </w:p>
        </w:tc>
        <w:tc>
          <w:tcPr>
            <w:tcW w:w="2036" w:type="dxa"/>
          </w:tcPr>
          <w:p w14:paraId="2E7435A3" w14:textId="0F72E4F3" w:rsidR="00825AD5" w:rsidRPr="001B0CDB" w:rsidRDefault="00703FB1" w:rsidP="00825AD5">
            <w:pPr>
              <w:rPr>
                <w:rFonts w:ascii="Verdana" w:hAnsi="Verdana"/>
                <w:sz w:val="24"/>
                <w:szCs w:val="24"/>
              </w:rPr>
            </w:pPr>
            <w:r>
              <w:rPr>
                <w:rFonts w:ascii="Verdana" w:hAnsi="Verdana"/>
                <w:sz w:val="24"/>
                <w:szCs w:val="24"/>
              </w:rPr>
              <w:t>Numerator</w:t>
            </w:r>
          </w:p>
        </w:tc>
        <w:tc>
          <w:tcPr>
            <w:tcW w:w="2094" w:type="dxa"/>
          </w:tcPr>
          <w:p w14:paraId="3B3A6B22" w14:textId="6E24D97B" w:rsidR="00825AD5" w:rsidRPr="001B0CDB" w:rsidRDefault="00703FB1" w:rsidP="00825AD5">
            <w:pPr>
              <w:rPr>
                <w:rFonts w:ascii="Verdana" w:hAnsi="Verdana"/>
                <w:sz w:val="24"/>
                <w:szCs w:val="24"/>
              </w:rPr>
            </w:pPr>
            <w:r>
              <w:rPr>
                <w:rFonts w:ascii="Verdana" w:hAnsi="Verdana"/>
                <w:sz w:val="24"/>
                <w:szCs w:val="24"/>
              </w:rPr>
              <w:t xml:space="preserve">Denominator </w:t>
            </w:r>
          </w:p>
        </w:tc>
        <w:tc>
          <w:tcPr>
            <w:tcW w:w="2178" w:type="dxa"/>
          </w:tcPr>
          <w:p w14:paraId="4B2CC4AD" w14:textId="3C128EA3" w:rsidR="00825AD5" w:rsidRPr="001B0CDB" w:rsidRDefault="00703FB1" w:rsidP="00825AD5">
            <w:pPr>
              <w:rPr>
                <w:rFonts w:ascii="Verdana" w:hAnsi="Verdana"/>
                <w:sz w:val="24"/>
                <w:szCs w:val="24"/>
              </w:rPr>
            </w:pPr>
            <w:r>
              <w:rPr>
                <w:rFonts w:ascii="Verdana" w:hAnsi="Verdana"/>
                <w:sz w:val="24"/>
                <w:szCs w:val="24"/>
              </w:rPr>
              <w:t>Increase</w:t>
            </w:r>
          </w:p>
        </w:tc>
        <w:tc>
          <w:tcPr>
            <w:tcW w:w="1810" w:type="dxa"/>
          </w:tcPr>
          <w:p w14:paraId="0F820C13" w14:textId="5C46421E" w:rsidR="00825AD5" w:rsidRPr="001B0CDB" w:rsidRDefault="00703FB1" w:rsidP="00825AD5">
            <w:pPr>
              <w:rPr>
                <w:rFonts w:ascii="Verdana" w:hAnsi="Verdana"/>
                <w:sz w:val="24"/>
                <w:szCs w:val="24"/>
              </w:rPr>
            </w:pPr>
            <w:r>
              <w:rPr>
                <w:rFonts w:ascii="Verdana" w:hAnsi="Verdana"/>
                <w:sz w:val="24"/>
                <w:szCs w:val="24"/>
              </w:rPr>
              <w:t>Decrease</w:t>
            </w:r>
          </w:p>
        </w:tc>
      </w:tr>
    </w:tbl>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804DDA9" w14:textId="4105CB2C" w:rsidR="00E43CF8" w:rsidRPr="00E43CF8" w:rsidRDefault="00E43CF8" w:rsidP="00E43CF8">
            <w:pPr>
              <w:pStyle w:val="Heading1"/>
              <w:shd w:val="clear" w:color="auto" w:fill="FCFCFC"/>
              <w:spacing w:before="0" w:after="240"/>
              <w:outlineLvl w:val="0"/>
              <w:rPr>
                <w:rFonts w:ascii="PT Sans" w:hAnsi="PT Sans"/>
                <w:b/>
                <w:bCs/>
                <w:color w:val="404040"/>
                <w:sz w:val="28"/>
                <w:szCs w:val="28"/>
              </w:rPr>
            </w:pPr>
            <w:r w:rsidRPr="00E43CF8">
              <w:rPr>
                <w:rStyle w:val="field"/>
                <w:rFonts w:ascii="PT Sans" w:hAnsi="PT Sans"/>
                <w:b/>
                <w:bCs/>
                <w:color w:val="404040"/>
                <w:sz w:val="28"/>
                <w:szCs w:val="28"/>
              </w:rPr>
              <w:t>Euclid's Window: The Story of Geometry from Parallel Lines to Hyperspace</w:t>
            </w:r>
          </w:p>
          <w:p w14:paraId="6E080D99" w14:textId="299158B5" w:rsidR="00E43CF8" w:rsidRPr="00E43CF8" w:rsidRDefault="00E43CF8" w:rsidP="00E43CF8">
            <w:pPr>
              <w:shd w:val="clear" w:color="auto" w:fill="FCFCFC"/>
              <w:textAlignment w:val="top"/>
              <w:rPr>
                <w:rFonts w:ascii="PT Sans" w:eastAsia="Times New Roman" w:hAnsi="PT Sans" w:cs="Times New Roman"/>
                <w:b/>
                <w:bCs/>
                <w:color w:val="404040"/>
                <w:sz w:val="24"/>
                <w:szCs w:val="24"/>
                <w:lang w:eastAsia="en-GB"/>
              </w:rPr>
            </w:pPr>
            <w:r w:rsidRPr="00E43CF8">
              <w:rPr>
                <w:rFonts w:ascii="PT Sans" w:eastAsia="Times New Roman" w:hAnsi="PT Sans" w:cs="Times New Roman"/>
                <w:b/>
                <w:bCs/>
                <w:color w:val="404040"/>
                <w:sz w:val="24"/>
                <w:szCs w:val="24"/>
                <w:lang w:eastAsia="en-GB"/>
              </w:rPr>
              <w:t>Author</w:t>
            </w:r>
          </w:p>
          <w:p w14:paraId="45FE9F84" w14:textId="77777777" w:rsidR="00E43CF8" w:rsidRPr="00E43CF8" w:rsidRDefault="00E43CF8" w:rsidP="00E43CF8">
            <w:pPr>
              <w:shd w:val="clear" w:color="auto" w:fill="FCFCFC"/>
              <w:textAlignment w:val="top"/>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 xml:space="preserve">Leonard </w:t>
            </w:r>
            <w:proofErr w:type="spellStart"/>
            <w:r w:rsidRPr="00E43CF8">
              <w:rPr>
                <w:rFonts w:ascii="PT Sans" w:eastAsia="Times New Roman" w:hAnsi="PT Sans" w:cs="Times New Roman"/>
                <w:color w:val="404040"/>
                <w:sz w:val="24"/>
                <w:szCs w:val="24"/>
                <w:lang w:eastAsia="en-GB"/>
              </w:rPr>
              <w:t>Mlodinow</w:t>
            </w:r>
            <w:proofErr w:type="spellEnd"/>
          </w:p>
          <w:p w14:paraId="307B4955" w14:textId="3ABC6E3A" w:rsidR="00E43CF8" w:rsidRPr="00E43CF8" w:rsidRDefault="00E43CF8" w:rsidP="00E43CF8">
            <w:pPr>
              <w:shd w:val="clear" w:color="auto" w:fill="FCFCFC"/>
              <w:spacing w:before="100" w:beforeAutospacing="1"/>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Anyone who thought geometry was boring or dry should prepare to be amazed. Despite its worthy cover this book is exactly what its title says - a story - and the plot of this story involves life, death and revolutions of understanding and belief. It stars the some of the most famous names in history, from Euclid who laid the logical foundations, to Albert Einstein, who united space and time in a single non-Euclidean geometry. It offers an alternative history of mathematics, revealing how simple questions anyone might ask about space - in the living room or in some other galaxy - have been the hidden engines of the highest achievements in science and technology.</w:t>
            </w:r>
            <w:r w:rsidR="00DC2954">
              <w:rPr>
                <w:rFonts w:ascii="PT Sans" w:eastAsia="Times New Roman" w:hAnsi="PT Sans" w:cs="Times New Roman"/>
                <w:color w:val="404040"/>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C00C6B"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C00C6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C00C6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C00C6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C00C6B"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C00C6B"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C00C6B"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C00C6B"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C00C6B"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C00C6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740A5C" w14:textId="2DBE62C9" w:rsidR="00C96046" w:rsidRDefault="00C96046" w:rsidP="0074569D">
      <w:pPr>
        <w:rPr>
          <w:sz w:val="32"/>
          <w:szCs w:val="32"/>
        </w:rPr>
      </w:pPr>
    </w:p>
    <w:p w14:paraId="7BE07A21" w14:textId="77777777" w:rsidR="00C96046" w:rsidRPr="00014922" w:rsidRDefault="00C96046" w:rsidP="0074569D">
      <w:pPr>
        <w:rPr>
          <w:sz w:val="32"/>
          <w:szCs w:val="32"/>
        </w:rPr>
      </w:pPr>
    </w:p>
    <w:sectPr w:rsidR="00C96046"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76164"/>
    <w:rsid w:val="000D1F7C"/>
    <w:rsid w:val="000E349C"/>
    <w:rsid w:val="001139DF"/>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E3556"/>
    <w:rsid w:val="00703FB1"/>
    <w:rsid w:val="0074569D"/>
    <w:rsid w:val="00773CFD"/>
    <w:rsid w:val="00783A14"/>
    <w:rsid w:val="007E5C02"/>
    <w:rsid w:val="0082039C"/>
    <w:rsid w:val="00825AD5"/>
    <w:rsid w:val="00831BCF"/>
    <w:rsid w:val="008D477B"/>
    <w:rsid w:val="008F6C26"/>
    <w:rsid w:val="00920585"/>
    <w:rsid w:val="009352F5"/>
    <w:rsid w:val="009C031C"/>
    <w:rsid w:val="009D0BFB"/>
    <w:rsid w:val="00A00785"/>
    <w:rsid w:val="00A359BE"/>
    <w:rsid w:val="00A64F1E"/>
    <w:rsid w:val="00AD03F7"/>
    <w:rsid w:val="00AF4C1A"/>
    <w:rsid w:val="00B00A2E"/>
    <w:rsid w:val="00B245FA"/>
    <w:rsid w:val="00B71289"/>
    <w:rsid w:val="00C00C6B"/>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691</Words>
  <Characters>3944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2025-01-06T09:11:00Z</dcterms:created>
  <dcterms:modified xsi:type="dcterms:W3CDTF">2025-01-06T09:11:00Z</dcterms:modified>
</cp:coreProperties>
</file>