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5000" w:type="pct"/>
        <w:tblLook w:val="04A0" w:firstRow="1" w:lastRow="0" w:firstColumn="1" w:lastColumn="0" w:noHBand="0" w:noVBand="1"/>
      </w:tblPr>
      <w:tblGrid>
        <w:gridCol w:w="1154"/>
        <w:gridCol w:w="477"/>
        <w:gridCol w:w="2070"/>
        <w:gridCol w:w="3409"/>
        <w:gridCol w:w="3346"/>
      </w:tblGrid>
      <w:tr w:rsidR="00606C84" w:rsidRPr="00606C84" w14:paraId="2A531455" w14:textId="77777777" w:rsidTr="00AA38F4">
        <w:trPr>
          <w:trHeight w:val="557"/>
        </w:trPr>
        <w:tc>
          <w:tcPr>
            <w:tcW w:w="1770" w:type="pct"/>
            <w:gridSpan w:val="3"/>
          </w:tcPr>
          <w:p w14:paraId="056BEAE1" w14:textId="495C4D8D" w:rsidR="00B245FA" w:rsidRPr="00606C84" w:rsidRDefault="00B245FA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Group:</w:t>
            </w:r>
            <w:r w:rsidR="009A59F1"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 S2 Exploring</w:t>
            </w:r>
          </w:p>
        </w:tc>
        <w:tc>
          <w:tcPr>
            <w:tcW w:w="1630" w:type="pct"/>
          </w:tcPr>
          <w:p w14:paraId="181E5C95" w14:textId="37E6FE85" w:rsidR="00B245FA" w:rsidRPr="00606C84" w:rsidRDefault="00B245FA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Subject: </w:t>
            </w:r>
            <w:r w:rsidR="009A59F1"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Health &amp; Social Care</w:t>
            </w:r>
          </w:p>
        </w:tc>
        <w:tc>
          <w:tcPr>
            <w:tcW w:w="1600" w:type="pct"/>
          </w:tcPr>
          <w:p w14:paraId="5FD2855C" w14:textId="036E6976" w:rsidR="00B245FA" w:rsidRPr="00606C84" w:rsidRDefault="00B245FA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Term:</w:t>
            </w:r>
            <w:r w:rsidR="009A59F1"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2</w:t>
            </w:r>
          </w:p>
        </w:tc>
      </w:tr>
      <w:tr w:rsidR="00606C84" w:rsidRPr="00606C84" w14:paraId="736F6FB1" w14:textId="77777777" w:rsidTr="00AA38F4">
        <w:trPr>
          <w:trHeight w:val="412"/>
        </w:trPr>
        <w:tc>
          <w:tcPr>
            <w:tcW w:w="780" w:type="pct"/>
            <w:gridSpan w:val="2"/>
          </w:tcPr>
          <w:p w14:paraId="503FC8A9" w14:textId="77777777" w:rsidR="00B245FA" w:rsidRPr="00606C84" w:rsidRDefault="00B245FA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Teacher: </w:t>
            </w:r>
          </w:p>
        </w:tc>
        <w:tc>
          <w:tcPr>
            <w:tcW w:w="4220" w:type="pct"/>
            <w:gridSpan w:val="3"/>
          </w:tcPr>
          <w:p w14:paraId="3A01D5AF" w14:textId="56AB6D78" w:rsidR="00B245FA" w:rsidRPr="00606C84" w:rsidRDefault="009A59F1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Jenny/Amy</w:t>
            </w:r>
          </w:p>
        </w:tc>
      </w:tr>
      <w:tr w:rsidR="00606C84" w:rsidRPr="00606C84" w14:paraId="0B0B2711" w14:textId="77777777" w:rsidTr="00AA38F4">
        <w:trPr>
          <w:trHeight w:val="500"/>
        </w:trPr>
        <w:tc>
          <w:tcPr>
            <w:tcW w:w="5000" w:type="pct"/>
            <w:gridSpan w:val="5"/>
          </w:tcPr>
          <w:p w14:paraId="151CC055" w14:textId="346DAACD" w:rsidR="00B245FA" w:rsidRPr="00606C84" w:rsidRDefault="00B245FA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Curriculum: KC Exploring KS4 </w:t>
            </w:r>
          </w:p>
        </w:tc>
      </w:tr>
      <w:tr w:rsidR="00606C84" w:rsidRPr="00606C84" w14:paraId="351A68E2" w14:textId="77777777" w:rsidTr="00AA38F4">
        <w:trPr>
          <w:trHeight w:val="500"/>
        </w:trPr>
        <w:tc>
          <w:tcPr>
            <w:tcW w:w="5000" w:type="pct"/>
            <w:gridSpan w:val="5"/>
          </w:tcPr>
          <w:p w14:paraId="4C8EA9E9" w14:textId="77777777" w:rsidR="009A59F1" w:rsidRPr="00606C84" w:rsidRDefault="00B245FA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Term </w:t>
            </w:r>
            <w:r w:rsidR="009A59F1"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2</w:t>
            </w: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 focus: </w:t>
            </w:r>
          </w:p>
          <w:p w14:paraId="24888D2C" w14:textId="77777777" w:rsidR="00B245FA" w:rsidRPr="00606C84" w:rsidRDefault="009A59F1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proofErr w:type="gramStart"/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A.1  Explore</w:t>
            </w:r>
            <w:proofErr w:type="gramEnd"/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 the care values that underpin current practice in health and social care</w:t>
            </w:r>
          </w:p>
          <w:p w14:paraId="45E674C4" w14:textId="394A1EAC" w:rsidR="009A59F1" w:rsidRPr="00606C84" w:rsidRDefault="009A59F1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proofErr w:type="gramStart"/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B.1  Investigate</w:t>
            </w:r>
            <w:proofErr w:type="gramEnd"/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 ways of empowering individuals who use health and social care services</w:t>
            </w:r>
          </w:p>
        </w:tc>
      </w:tr>
      <w:tr w:rsidR="00606C84" w:rsidRPr="00606C84" w14:paraId="358C24DA" w14:textId="77777777" w:rsidTr="00AA38F4">
        <w:trPr>
          <w:trHeight w:val="537"/>
        </w:trPr>
        <w:tc>
          <w:tcPr>
            <w:tcW w:w="552" w:type="pct"/>
          </w:tcPr>
          <w:p w14:paraId="51366C3C" w14:textId="77777777" w:rsidR="009A59F1" w:rsidRPr="00606C84" w:rsidRDefault="009A59F1" w:rsidP="009A59F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1</w:t>
            </w:r>
          </w:p>
        </w:tc>
        <w:tc>
          <w:tcPr>
            <w:tcW w:w="4448" w:type="pct"/>
            <w:gridSpan w:val="4"/>
          </w:tcPr>
          <w:p w14:paraId="2FE3143D" w14:textId="380A74D7" w:rsidR="009A59F1" w:rsidRPr="00606C84" w:rsidRDefault="009A59F1" w:rsidP="009A59F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Define confidentiality and explain how it can be applied in care settings</w:t>
            </w:r>
            <w:r w:rsidR="00832662" w:rsidRPr="00606C84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,</w:t>
            </w:r>
            <w:r w:rsidRPr="00606C84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 giving examples</w:t>
            </w:r>
            <w:r w:rsidR="00832662" w:rsidRPr="00606C84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.</w:t>
            </w:r>
          </w:p>
        </w:tc>
      </w:tr>
      <w:tr w:rsidR="00606C84" w:rsidRPr="00606C84" w14:paraId="73FCEE28" w14:textId="77777777" w:rsidTr="00AA38F4">
        <w:trPr>
          <w:trHeight w:val="537"/>
        </w:trPr>
        <w:tc>
          <w:tcPr>
            <w:tcW w:w="552" w:type="pct"/>
          </w:tcPr>
          <w:p w14:paraId="5C6E9DFA" w14:textId="77777777" w:rsidR="009A59F1" w:rsidRPr="00606C84" w:rsidRDefault="009A59F1" w:rsidP="009A59F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2</w:t>
            </w:r>
          </w:p>
          <w:p w14:paraId="1AAF7769" w14:textId="77777777" w:rsidR="009A59F1" w:rsidRPr="00606C84" w:rsidRDefault="009A59F1" w:rsidP="009A59F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448" w:type="pct"/>
            <w:gridSpan w:val="4"/>
          </w:tcPr>
          <w:p w14:paraId="5884A6B9" w14:textId="04311F2C" w:rsidR="009A59F1" w:rsidRPr="00606C84" w:rsidRDefault="009A59F1" w:rsidP="009A59F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Define dignity and explain how it can be applied in care settings</w:t>
            </w:r>
            <w:r w:rsidR="00832662" w:rsidRPr="00606C84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,</w:t>
            </w:r>
            <w:r w:rsidRPr="00606C84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 giving examples</w:t>
            </w:r>
            <w:r w:rsidR="00832662" w:rsidRPr="00606C84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.</w:t>
            </w:r>
          </w:p>
        </w:tc>
      </w:tr>
      <w:tr w:rsidR="00606C84" w:rsidRPr="00606C84" w14:paraId="4E0D80F6" w14:textId="77777777" w:rsidTr="00AA38F4">
        <w:trPr>
          <w:trHeight w:val="537"/>
        </w:trPr>
        <w:tc>
          <w:tcPr>
            <w:tcW w:w="552" w:type="pct"/>
          </w:tcPr>
          <w:p w14:paraId="49496466" w14:textId="77777777" w:rsidR="009A59F1" w:rsidRPr="00606C84" w:rsidRDefault="009A59F1" w:rsidP="009A59F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3</w:t>
            </w:r>
          </w:p>
          <w:p w14:paraId="1F9D7E3D" w14:textId="77777777" w:rsidR="009A59F1" w:rsidRPr="00606C84" w:rsidRDefault="009A59F1" w:rsidP="009A59F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448" w:type="pct"/>
            <w:gridSpan w:val="4"/>
          </w:tcPr>
          <w:p w14:paraId="7800B430" w14:textId="6B857DE6" w:rsidR="009A59F1" w:rsidRPr="00606C84" w:rsidRDefault="009A59F1" w:rsidP="009A59F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Define respect for the individual and explain how it can be applied in care settings</w:t>
            </w:r>
            <w:r w:rsidR="00832662" w:rsidRPr="00606C84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,</w:t>
            </w:r>
            <w:r w:rsidRPr="00606C84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 giving examples</w:t>
            </w:r>
            <w:r w:rsidR="00832662" w:rsidRPr="00606C84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.</w:t>
            </w:r>
          </w:p>
        </w:tc>
      </w:tr>
      <w:tr w:rsidR="00606C84" w:rsidRPr="00606C84" w14:paraId="5F8539E1" w14:textId="77777777" w:rsidTr="00AA38F4">
        <w:trPr>
          <w:trHeight w:val="537"/>
        </w:trPr>
        <w:tc>
          <w:tcPr>
            <w:tcW w:w="552" w:type="pct"/>
          </w:tcPr>
          <w:p w14:paraId="77192A04" w14:textId="77777777" w:rsidR="009A59F1" w:rsidRPr="00606C84" w:rsidRDefault="009A59F1" w:rsidP="009A59F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4</w:t>
            </w:r>
          </w:p>
        </w:tc>
        <w:tc>
          <w:tcPr>
            <w:tcW w:w="4448" w:type="pct"/>
            <w:gridSpan w:val="4"/>
          </w:tcPr>
          <w:p w14:paraId="1B6DD4B1" w14:textId="7B3BD31E" w:rsidR="009A59F1" w:rsidRPr="00606C84" w:rsidRDefault="009A59F1" w:rsidP="009A59F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Define safeguarding and </w:t>
            </w:r>
            <w:r w:rsidR="00832662" w:rsidRPr="00606C84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duty of care.  E</w:t>
            </w:r>
            <w:r w:rsidRPr="00606C84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xplain how </w:t>
            </w:r>
            <w:r w:rsidR="00832662" w:rsidRPr="00606C84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they</w:t>
            </w:r>
            <w:r w:rsidRPr="00606C84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 can be applied in care settings</w:t>
            </w:r>
            <w:r w:rsidR="00832662" w:rsidRPr="00606C84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,</w:t>
            </w:r>
            <w:r w:rsidRPr="00606C84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 giving examples</w:t>
            </w:r>
            <w:r w:rsidR="00832662" w:rsidRPr="00606C84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.</w:t>
            </w:r>
          </w:p>
        </w:tc>
      </w:tr>
      <w:tr w:rsidR="00606C84" w:rsidRPr="00606C84" w14:paraId="5F8F9DF1" w14:textId="77777777" w:rsidTr="00AA38F4">
        <w:trPr>
          <w:trHeight w:val="537"/>
        </w:trPr>
        <w:tc>
          <w:tcPr>
            <w:tcW w:w="552" w:type="pct"/>
          </w:tcPr>
          <w:p w14:paraId="150A53B1" w14:textId="77777777" w:rsidR="009A59F1" w:rsidRPr="00606C84" w:rsidRDefault="009A59F1" w:rsidP="009A59F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5</w:t>
            </w:r>
          </w:p>
        </w:tc>
        <w:tc>
          <w:tcPr>
            <w:tcW w:w="4448" w:type="pct"/>
            <w:gridSpan w:val="4"/>
          </w:tcPr>
          <w:p w14:paraId="483976CE" w14:textId="411F1BC3" w:rsidR="009A59F1" w:rsidRPr="00606C84" w:rsidRDefault="009A59F1" w:rsidP="009A59F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Define person-centred care and explain how it can be applied in care settings</w:t>
            </w:r>
            <w:r w:rsidR="00832662" w:rsidRPr="00606C84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,</w:t>
            </w:r>
            <w:r w:rsidRPr="00606C84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 giving examples</w:t>
            </w:r>
            <w:r w:rsidR="00832662" w:rsidRPr="00606C84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.</w:t>
            </w:r>
          </w:p>
        </w:tc>
      </w:tr>
      <w:tr w:rsidR="00606C84" w:rsidRPr="00606C84" w14:paraId="6D038DF4" w14:textId="77777777" w:rsidTr="00AA38F4">
        <w:trPr>
          <w:trHeight w:val="537"/>
        </w:trPr>
        <w:tc>
          <w:tcPr>
            <w:tcW w:w="552" w:type="pct"/>
          </w:tcPr>
          <w:p w14:paraId="1AE714C6" w14:textId="77777777" w:rsidR="00606C84" w:rsidRPr="00606C84" w:rsidRDefault="00606C84" w:rsidP="009A59F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448" w:type="pct"/>
            <w:gridSpan w:val="4"/>
          </w:tcPr>
          <w:p w14:paraId="2E14BF81" w14:textId="4205F907" w:rsidR="00606C84" w:rsidRPr="00606C84" w:rsidRDefault="00606C84" w:rsidP="009A59F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Define </w:t>
            </w:r>
            <w:r w:rsidRPr="00606C84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duty of care</w:t>
            </w:r>
            <w:r w:rsidRPr="00606C84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 and explain how it can be applied in care settings, giving examples.</w:t>
            </w:r>
          </w:p>
        </w:tc>
      </w:tr>
      <w:tr w:rsidR="00606C84" w:rsidRPr="00606C84" w14:paraId="6E33B8A5" w14:textId="77777777" w:rsidTr="00AA38F4">
        <w:trPr>
          <w:trHeight w:val="537"/>
        </w:trPr>
        <w:tc>
          <w:tcPr>
            <w:tcW w:w="552" w:type="pct"/>
          </w:tcPr>
          <w:p w14:paraId="23AB0FFA" w14:textId="77777777" w:rsidR="009A59F1" w:rsidRPr="00606C84" w:rsidRDefault="009A59F1" w:rsidP="009A59F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6</w:t>
            </w:r>
          </w:p>
        </w:tc>
        <w:tc>
          <w:tcPr>
            <w:tcW w:w="4448" w:type="pct"/>
            <w:gridSpan w:val="4"/>
          </w:tcPr>
          <w:p w14:paraId="7490B319" w14:textId="6178D70A" w:rsidR="009A59F1" w:rsidRPr="00606C84" w:rsidRDefault="009A59F1" w:rsidP="009A59F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Describe how individuals can be empowered through adapted activities and personalised care.  Give applied examples</w:t>
            </w:r>
            <w:r w:rsidR="00832662" w:rsidRPr="00606C84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.</w:t>
            </w:r>
          </w:p>
        </w:tc>
      </w:tr>
      <w:tr w:rsidR="00606C84" w:rsidRPr="00606C84" w14:paraId="604C67E2" w14:textId="77777777" w:rsidTr="00AA38F4">
        <w:trPr>
          <w:trHeight w:val="537"/>
        </w:trPr>
        <w:tc>
          <w:tcPr>
            <w:tcW w:w="552" w:type="pct"/>
          </w:tcPr>
          <w:p w14:paraId="513F87CE" w14:textId="77777777" w:rsidR="009A59F1" w:rsidRPr="00606C84" w:rsidRDefault="009A59F1" w:rsidP="009A59F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7</w:t>
            </w:r>
          </w:p>
        </w:tc>
        <w:tc>
          <w:tcPr>
            <w:tcW w:w="4448" w:type="pct"/>
            <w:gridSpan w:val="4"/>
          </w:tcPr>
          <w:p w14:paraId="0D49B90A" w14:textId="73DE743F" w:rsidR="009A59F1" w:rsidRPr="00606C84" w:rsidRDefault="009A59F1" w:rsidP="009A59F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Describe how individuals can be empowered through</w:t>
            </w:r>
            <w:r w:rsidRPr="00606C84">
              <w:rPr>
                <w:rFonts w:ascii="Verdana" w:hAnsi="Verdana" w:cstheme="minorHAnsi"/>
                <w:color w:val="0D0D0D" w:themeColor="text1" w:themeTint="F2"/>
              </w:rPr>
              <w:t xml:space="preserve"> partnership working</w:t>
            </w:r>
            <w:r w:rsidRPr="00606C84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.  Give applied examples</w:t>
            </w:r>
            <w:r w:rsidR="00832662" w:rsidRPr="00606C84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.</w:t>
            </w:r>
          </w:p>
        </w:tc>
      </w:tr>
      <w:tr w:rsidR="00606C84" w:rsidRPr="00606C84" w14:paraId="7E3033AF" w14:textId="77777777" w:rsidTr="00AA38F4">
        <w:trPr>
          <w:trHeight w:val="537"/>
        </w:trPr>
        <w:tc>
          <w:tcPr>
            <w:tcW w:w="552" w:type="pct"/>
          </w:tcPr>
          <w:p w14:paraId="6E3A2C3B" w14:textId="77777777" w:rsidR="009A59F1" w:rsidRPr="00606C84" w:rsidRDefault="009A59F1" w:rsidP="009A59F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8</w:t>
            </w:r>
          </w:p>
        </w:tc>
        <w:tc>
          <w:tcPr>
            <w:tcW w:w="4448" w:type="pct"/>
            <w:gridSpan w:val="4"/>
          </w:tcPr>
          <w:p w14:paraId="48BFB930" w14:textId="7C67E007" w:rsidR="009A59F1" w:rsidRPr="00606C84" w:rsidRDefault="009A59F1" w:rsidP="009A59F1">
            <w:pPr>
              <w:pStyle w:val="Default"/>
              <w:rPr>
                <w:rFonts w:ascii="Verdana" w:hAnsi="Verdana" w:cstheme="minorHAnsi"/>
                <w:color w:val="0D0D0D" w:themeColor="text1" w:themeTint="F2"/>
              </w:rPr>
            </w:pPr>
            <w:r w:rsidRPr="00606C84">
              <w:rPr>
                <w:rFonts w:ascii="Verdana" w:hAnsi="Verdana" w:cstheme="minorHAnsi"/>
                <w:color w:val="0D0D0D" w:themeColor="text1" w:themeTint="F2"/>
              </w:rPr>
              <w:t>Describe how individuals can be empowered through promoting choice and adapting communication.  Give applied examples</w:t>
            </w:r>
            <w:r w:rsidR="00832662" w:rsidRPr="00606C84">
              <w:rPr>
                <w:rFonts w:ascii="Verdana" w:hAnsi="Verdana" w:cstheme="minorHAnsi"/>
                <w:color w:val="0D0D0D" w:themeColor="text1" w:themeTint="F2"/>
              </w:rPr>
              <w:t>.</w:t>
            </w:r>
          </w:p>
        </w:tc>
      </w:tr>
      <w:tr w:rsidR="00606C84" w:rsidRPr="00606C84" w14:paraId="23CC12AA" w14:textId="77777777" w:rsidTr="00AA38F4">
        <w:trPr>
          <w:trHeight w:val="537"/>
        </w:trPr>
        <w:tc>
          <w:tcPr>
            <w:tcW w:w="552" w:type="pct"/>
          </w:tcPr>
          <w:p w14:paraId="1A3BCB32" w14:textId="77777777" w:rsidR="009A59F1" w:rsidRPr="00606C84" w:rsidRDefault="009A59F1" w:rsidP="009A59F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9</w:t>
            </w:r>
          </w:p>
        </w:tc>
        <w:tc>
          <w:tcPr>
            <w:tcW w:w="4448" w:type="pct"/>
            <w:gridSpan w:val="4"/>
          </w:tcPr>
          <w:p w14:paraId="02EEF224" w14:textId="07DA1660" w:rsidR="009A59F1" w:rsidRPr="00606C84" w:rsidRDefault="009A59F1" w:rsidP="009A59F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Describe how individuals can be empowered through positive working practice.  Give applied examples</w:t>
            </w:r>
          </w:p>
        </w:tc>
      </w:tr>
      <w:tr w:rsidR="00606C84" w:rsidRPr="00606C84" w14:paraId="76BC0C43" w14:textId="77777777" w:rsidTr="00AA38F4">
        <w:trPr>
          <w:trHeight w:val="537"/>
        </w:trPr>
        <w:tc>
          <w:tcPr>
            <w:tcW w:w="552" w:type="pct"/>
          </w:tcPr>
          <w:p w14:paraId="66F4D774" w14:textId="77777777" w:rsidR="00B245FA" w:rsidRPr="00606C84" w:rsidRDefault="00B245FA" w:rsidP="00B245FA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10</w:t>
            </w:r>
          </w:p>
        </w:tc>
        <w:tc>
          <w:tcPr>
            <w:tcW w:w="4448" w:type="pct"/>
            <w:gridSpan w:val="4"/>
          </w:tcPr>
          <w:p w14:paraId="59FA69DC" w14:textId="065CF93B" w:rsidR="00B245FA" w:rsidRPr="00606C84" w:rsidRDefault="009A59F1" w:rsidP="00B245FA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Explain the reasons for supporting </w:t>
            </w:r>
            <w:r w:rsidR="00832662" w:rsidRPr="00606C84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individuals</w:t>
            </w:r>
            <w:r w:rsidRPr="00606C84"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 and explain how promoting autonomy and empowerment can strengthen care and caring relationships</w:t>
            </w:r>
          </w:p>
        </w:tc>
      </w:tr>
    </w:tbl>
    <w:p w14:paraId="4D50AA4D" w14:textId="15CE97DB" w:rsidR="00C96B26" w:rsidRPr="00606C84" w:rsidRDefault="00920585">
      <w:pPr>
        <w:rPr>
          <w:rFonts w:ascii="Verdana" w:hAnsi="Verdana"/>
          <w:b/>
          <w:bCs/>
          <w:color w:val="0D0D0D" w:themeColor="text1" w:themeTint="F2"/>
          <w:sz w:val="24"/>
          <w:szCs w:val="24"/>
        </w:rPr>
      </w:pPr>
      <w:r w:rsidRPr="00606C84">
        <w:rPr>
          <w:rFonts w:ascii="Verdana" w:hAnsi="Verdana"/>
          <w:b/>
          <w:bCs/>
          <w:color w:val="0D0D0D" w:themeColor="text1" w:themeTint="F2"/>
          <w:sz w:val="24"/>
          <w:szCs w:val="24"/>
        </w:rPr>
        <w:t>Tier Three Keywords: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2621"/>
        <w:gridCol w:w="2621"/>
        <w:gridCol w:w="2621"/>
        <w:gridCol w:w="2622"/>
      </w:tblGrid>
      <w:tr w:rsidR="00606C84" w:rsidRPr="00606C84" w14:paraId="56E7C716" w14:textId="77777777" w:rsidTr="00AA38F4">
        <w:trPr>
          <w:trHeight w:val="535"/>
        </w:trPr>
        <w:tc>
          <w:tcPr>
            <w:tcW w:w="2621" w:type="dxa"/>
            <w:vAlign w:val="center"/>
          </w:tcPr>
          <w:p w14:paraId="3ED141E8" w14:textId="58BA02DA" w:rsidR="009A59F1" w:rsidRPr="00606C84" w:rsidRDefault="009A59F1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606C84">
              <w:rPr>
                <w:rFonts w:ascii="Verdana" w:hAnsi="Verdana"/>
                <w:color w:val="0D0D0D" w:themeColor="text1" w:themeTint="F2"/>
              </w:rPr>
              <w:t>Confidentiality</w:t>
            </w:r>
          </w:p>
        </w:tc>
        <w:tc>
          <w:tcPr>
            <w:tcW w:w="2621" w:type="dxa"/>
            <w:vAlign w:val="center"/>
          </w:tcPr>
          <w:p w14:paraId="7CDA4861" w14:textId="4CCC0B78" w:rsidR="009A59F1" w:rsidRPr="00606C84" w:rsidRDefault="009A59F1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606C84">
              <w:rPr>
                <w:rFonts w:ascii="Verdana" w:hAnsi="Verdana"/>
                <w:color w:val="0D0D0D" w:themeColor="text1" w:themeTint="F2"/>
              </w:rPr>
              <w:t>Dignity</w:t>
            </w:r>
          </w:p>
        </w:tc>
        <w:tc>
          <w:tcPr>
            <w:tcW w:w="2621" w:type="dxa"/>
            <w:vAlign w:val="center"/>
          </w:tcPr>
          <w:p w14:paraId="5D17AF0B" w14:textId="0EB19A9D" w:rsidR="009A59F1" w:rsidRPr="00606C84" w:rsidRDefault="009A59F1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606C84">
              <w:rPr>
                <w:rFonts w:ascii="Verdana" w:hAnsi="Verdana"/>
                <w:color w:val="0D0D0D" w:themeColor="text1" w:themeTint="F2"/>
              </w:rPr>
              <w:t>Respect</w:t>
            </w:r>
          </w:p>
        </w:tc>
        <w:tc>
          <w:tcPr>
            <w:tcW w:w="2622" w:type="dxa"/>
            <w:vAlign w:val="center"/>
          </w:tcPr>
          <w:p w14:paraId="70A311EF" w14:textId="71AA7D61" w:rsidR="009A59F1" w:rsidRPr="00606C84" w:rsidRDefault="00AA38F4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606C84">
              <w:rPr>
                <w:rFonts w:ascii="Verdana" w:hAnsi="Verdana"/>
                <w:color w:val="0D0D0D" w:themeColor="text1" w:themeTint="F2"/>
              </w:rPr>
              <w:t>D</w:t>
            </w:r>
            <w:r w:rsidR="009A59F1" w:rsidRPr="00606C84">
              <w:rPr>
                <w:rFonts w:ascii="Verdana" w:hAnsi="Verdana"/>
                <w:color w:val="0D0D0D" w:themeColor="text1" w:themeTint="F2"/>
              </w:rPr>
              <w:t>iversity</w:t>
            </w:r>
          </w:p>
        </w:tc>
      </w:tr>
      <w:tr w:rsidR="00606C84" w:rsidRPr="00606C84" w14:paraId="5DC8C621" w14:textId="77777777" w:rsidTr="00AA38F4">
        <w:trPr>
          <w:trHeight w:val="535"/>
        </w:trPr>
        <w:tc>
          <w:tcPr>
            <w:tcW w:w="2621" w:type="dxa"/>
            <w:vAlign w:val="center"/>
          </w:tcPr>
          <w:p w14:paraId="14CD84C4" w14:textId="0E2B9EBF" w:rsidR="009A59F1" w:rsidRPr="00606C84" w:rsidRDefault="009A59F1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606C84">
              <w:rPr>
                <w:rFonts w:ascii="Verdana" w:hAnsi="Verdana"/>
                <w:color w:val="0D0D0D" w:themeColor="text1" w:themeTint="F2"/>
              </w:rPr>
              <w:t>Adapted</w:t>
            </w:r>
          </w:p>
        </w:tc>
        <w:tc>
          <w:tcPr>
            <w:tcW w:w="2621" w:type="dxa"/>
            <w:vAlign w:val="center"/>
          </w:tcPr>
          <w:p w14:paraId="2B6B0AA7" w14:textId="28CDF610" w:rsidR="009A59F1" w:rsidRPr="00606C84" w:rsidRDefault="00AA38F4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606C84">
              <w:rPr>
                <w:rFonts w:ascii="Verdana" w:hAnsi="Verdana"/>
                <w:color w:val="0D0D0D" w:themeColor="text1" w:themeTint="F2"/>
              </w:rPr>
              <w:t>P</w:t>
            </w:r>
            <w:r w:rsidR="009A59F1" w:rsidRPr="00606C84">
              <w:rPr>
                <w:rFonts w:ascii="Verdana" w:hAnsi="Verdana"/>
                <w:color w:val="0D0D0D" w:themeColor="text1" w:themeTint="F2"/>
              </w:rPr>
              <w:t>artnership</w:t>
            </w:r>
          </w:p>
        </w:tc>
        <w:tc>
          <w:tcPr>
            <w:tcW w:w="2621" w:type="dxa"/>
            <w:vAlign w:val="center"/>
          </w:tcPr>
          <w:p w14:paraId="44846C07" w14:textId="4AE186B4" w:rsidR="009A59F1" w:rsidRPr="00606C84" w:rsidRDefault="00AA38F4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606C84">
              <w:rPr>
                <w:rFonts w:ascii="Verdana" w:hAnsi="Verdana"/>
                <w:color w:val="0D0D0D" w:themeColor="text1" w:themeTint="F2"/>
              </w:rPr>
              <w:t>I</w:t>
            </w:r>
            <w:r w:rsidR="009A59F1" w:rsidRPr="00606C84">
              <w:rPr>
                <w:rFonts w:ascii="Verdana" w:hAnsi="Verdana"/>
                <w:color w:val="0D0D0D" w:themeColor="text1" w:themeTint="F2"/>
              </w:rPr>
              <w:t>nd</w:t>
            </w:r>
            <w:r w:rsidRPr="00606C84">
              <w:rPr>
                <w:rFonts w:ascii="Verdana" w:hAnsi="Verdana"/>
                <w:color w:val="0D0D0D" w:themeColor="text1" w:themeTint="F2"/>
              </w:rPr>
              <w:t>e</w:t>
            </w:r>
            <w:r w:rsidR="009A59F1" w:rsidRPr="00606C84">
              <w:rPr>
                <w:rFonts w:ascii="Verdana" w:hAnsi="Verdana"/>
                <w:color w:val="0D0D0D" w:themeColor="text1" w:themeTint="F2"/>
              </w:rPr>
              <w:t>pendence</w:t>
            </w:r>
          </w:p>
        </w:tc>
        <w:tc>
          <w:tcPr>
            <w:tcW w:w="2622" w:type="dxa"/>
            <w:vAlign w:val="center"/>
          </w:tcPr>
          <w:p w14:paraId="27312DB3" w14:textId="0E7414CE" w:rsidR="009A59F1" w:rsidRPr="00606C84" w:rsidRDefault="009A59F1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606C84">
              <w:rPr>
                <w:rFonts w:ascii="Verdana" w:hAnsi="Verdana"/>
                <w:color w:val="0D0D0D" w:themeColor="text1" w:themeTint="F2"/>
              </w:rPr>
              <w:t>Autonomy</w:t>
            </w:r>
          </w:p>
        </w:tc>
      </w:tr>
      <w:tr w:rsidR="009A59F1" w:rsidRPr="00606C84" w14:paraId="333D59DA" w14:textId="77777777" w:rsidTr="00AA38F4">
        <w:trPr>
          <w:trHeight w:val="535"/>
        </w:trPr>
        <w:tc>
          <w:tcPr>
            <w:tcW w:w="2621" w:type="dxa"/>
            <w:vAlign w:val="center"/>
          </w:tcPr>
          <w:p w14:paraId="7A65D77F" w14:textId="5DB5EA32" w:rsidR="009A59F1" w:rsidRPr="00606C84" w:rsidRDefault="009A59F1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606C84">
              <w:rPr>
                <w:rFonts w:ascii="Verdana" w:hAnsi="Verdana"/>
                <w:color w:val="0D0D0D" w:themeColor="text1" w:themeTint="F2"/>
              </w:rPr>
              <w:t>Safeguarding</w:t>
            </w:r>
          </w:p>
        </w:tc>
        <w:tc>
          <w:tcPr>
            <w:tcW w:w="2621" w:type="dxa"/>
            <w:vAlign w:val="center"/>
          </w:tcPr>
          <w:p w14:paraId="3009187A" w14:textId="26E66971" w:rsidR="009A59F1" w:rsidRPr="00606C84" w:rsidRDefault="009A59F1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606C84">
              <w:rPr>
                <w:rFonts w:ascii="Verdana" w:hAnsi="Verdana"/>
                <w:color w:val="0D0D0D" w:themeColor="text1" w:themeTint="F2"/>
              </w:rPr>
              <w:t>Person-centred care</w:t>
            </w:r>
          </w:p>
        </w:tc>
        <w:tc>
          <w:tcPr>
            <w:tcW w:w="2621" w:type="dxa"/>
            <w:vAlign w:val="center"/>
          </w:tcPr>
          <w:p w14:paraId="67FCC52D" w14:textId="7067CF64" w:rsidR="009A59F1" w:rsidRPr="00606C84" w:rsidRDefault="009A59F1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606C84">
              <w:rPr>
                <w:rFonts w:ascii="Verdana" w:hAnsi="Verdana"/>
                <w:color w:val="0D0D0D" w:themeColor="text1" w:themeTint="F2"/>
              </w:rPr>
              <w:t>Empowered</w:t>
            </w:r>
          </w:p>
        </w:tc>
        <w:tc>
          <w:tcPr>
            <w:tcW w:w="2622" w:type="dxa"/>
            <w:vAlign w:val="center"/>
          </w:tcPr>
          <w:p w14:paraId="67254CC7" w14:textId="7E446AA5" w:rsidR="009A59F1" w:rsidRPr="00606C84" w:rsidRDefault="009A59F1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 w:rsidRPr="00606C84">
              <w:rPr>
                <w:rFonts w:ascii="Verdana" w:hAnsi="Verdana"/>
                <w:color w:val="0D0D0D" w:themeColor="text1" w:themeTint="F2"/>
              </w:rPr>
              <w:t>Advocacy</w:t>
            </w:r>
          </w:p>
        </w:tc>
      </w:tr>
    </w:tbl>
    <w:p w14:paraId="065B636A" w14:textId="77777777" w:rsidR="00AA38F4" w:rsidRPr="00606C84" w:rsidRDefault="00AA38F4">
      <w:pPr>
        <w:rPr>
          <w:rFonts w:ascii="Verdana" w:hAnsi="Verdana"/>
          <w:b/>
          <w:bCs/>
          <w:color w:val="0D0D0D" w:themeColor="text1" w:themeTint="F2"/>
          <w:sz w:val="24"/>
          <w:szCs w:val="24"/>
        </w:rPr>
      </w:pPr>
    </w:p>
    <w:p w14:paraId="5ECA3170" w14:textId="0A2D4922" w:rsidR="00C96B26" w:rsidRPr="00606C84" w:rsidRDefault="00920585">
      <w:pPr>
        <w:rPr>
          <w:rFonts w:ascii="Verdana" w:hAnsi="Verdana"/>
          <w:b/>
          <w:bCs/>
          <w:color w:val="0D0D0D" w:themeColor="text1" w:themeTint="F2"/>
          <w:sz w:val="24"/>
          <w:szCs w:val="24"/>
        </w:rPr>
      </w:pPr>
      <w:r w:rsidRPr="00606C84">
        <w:rPr>
          <w:rFonts w:ascii="Verdana" w:hAnsi="Verdana"/>
          <w:b/>
          <w:bCs/>
          <w:color w:val="0D0D0D" w:themeColor="text1" w:themeTint="F2"/>
          <w:sz w:val="24"/>
          <w:szCs w:val="24"/>
        </w:rPr>
        <w:t>Recommended Reading: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016"/>
      </w:tblGrid>
      <w:tr w:rsidR="00B245FA" w:rsidRPr="00606C84" w14:paraId="430E0E26" w14:textId="77777777" w:rsidTr="00AA38F4">
        <w:trPr>
          <w:jc w:val="center"/>
        </w:trPr>
        <w:tc>
          <w:tcPr>
            <w:tcW w:w="9016" w:type="dxa"/>
            <w:vAlign w:val="bottom"/>
          </w:tcPr>
          <w:p w14:paraId="42A68A52" w14:textId="00659856" w:rsidR="00AA38F4" w:rsidRPr="00606C84" w:rsidRDefault="00AA38F4" w:rsidP="00AA38F4">
            <w:pPr>
              <w:pStyle w:val="Heading1"/>
              <w:shd w:val="clear" w:color="auto" w:fill="FFFFFF"/>
              <w:spacing w:before="0" w:after="90"/>
              <w:jc w:val="center"/>
              <w:outlineLvl w:val="0"/>
              <w:rPr>
                <w:rStyle w:val="book-title"/>
                <w:b/>
                <w:bCs/>
                <w:color w:val="0D0D0D" w:themeColor="text1" w:themeTint="F2"/>
                <w:spacing w:val="7"/>
                <w:sz w:val="24"/>
                <w:szCs w:val="24"/>
              </w:rPr>
            </w:pPr>
            <w:r w:rsidRPr="00606C84">
              <w:rPr>
                <w:noProof/>
                <w:color w:val="0D0D0D" w:themeColor="text1" w:themeTint="F2"/>
              </w:rPr>
              <w:lastRenderedPageBreak/>
              <w:drawing>
                <wp:anchor distT="0" distB="0" distL="114300" distR="114300" simplePos="0" relativeHeight="251658240" behindDoc="1" locked="0" layoutInCell="1" allowOverlap="1" wp14:anchorId="370879CA" wp14:editId="5070DC0E">
                  <wp:simplePos x="0" y="0"/>
                  <wp:positionH relativeFrom="column">
                    <wp:posOffset>4537468</wp:posOffset>
                  </wp:positionH>
                  <wp:positionV relativeFrom="paragraph">
                    <wp:posOffset>59016</wp:posOffset>
                  </wp:positionV>
                  <wp:extent cx="923827" cy="1356977"/>
                  <wp:effectExtent l="0" t="0" r="0" b="0"/>
                  <wp:wrapTight wrapText="bothSides">
                    <wp:wrapPolygon edited="0">
                      <wp:start x="0" y="0"/>
                      <wp:lineTo x="0" y="21236"/>
                      <wp:lineTo x="20946" y="21236"/>
                      <wp:lineTo x="2094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827" cy="1356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06C84">
              <w:rPr>
                <w:rStyle w:val="book-title"/>
                <w:b/>
                <w:bCs/>
                <w:color w:val="0D0D0D" w:themeColor="text1" w:themeTint="F2"/>
                <w:spacing w:val="7"/>
                <w:sz w:val="24"/>
                <w:szCs w:val="24"/>
              </w:rPr>
              <w:t>The Reason I Jump: one boy's voice from the silence of autism</w:t>
            </w:r>
          </w:p>
          <w:p w14:paraId="0FCCE8DD" w14:textId="1A3427CE" w:rsidR="00B245FA" w:rsidRPr="00606C84" w:rsidRDefault="00AA38F4" w:rsidP="00AA38F4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</w:pPr>
            <w:r w:rsidRPr="00606C84">
              <w:rPr>
                <w:rFonts w:ascii="Source Sans Pro" w:hAnsi="Source Sans Pro"/>
                <w:color w:val="0D0D0D" w:themeColor="text1" w:themeTint="F2"/>
                <w:spacing w:val="7"/>
                <w:sz w:val="24"/>
                <w:szCs w:val="24"/>
                <w:shd w:val="clear" w:color="auto" w:fill="FFFFFF"/>
              </w:rPr>
              <w:t>Author </w:t>
            </w:r>
            <w:hyperlink r:id="rId6" w:history="1">
              <w:r w:rsidRPr="00606C84">
                <w:rPr>
                  <w:rStyle w:val="Hyperlink"/>
                  <w:rFonts w:ascii="Source Sans Pro" w:hAnsi="Source Sans Pro"/>
                  <w:color w:val="0D0D0D" w:themeColor="text1" w:themeTint="F2"/>
                  <w:spacing w:val="7"/>
                  <w:sz w:val="24"/>
                  <w:szCs w:val="24"/>
                  <w:shd w:val="clear" w:color="auto" w:fill="FFFFFF"/>
                </w:rPr>
                <w:t>David Mitchell</w:t>
              </w:r>
            </w:hyperlink>
            <w:r w:rsidRPr="00606C84">
              <w:rPr>
                <w:rFonts w:ascii="Source Sans Pro" w:hAnsi="Source Sans Pro"/>
                <w:color w:val="0D0D0D" w:themeColor="text1" w:themeTint="F2"/>
                <w:spacing w:val="7"/>
                <w:sz w:val="24"/>
                <w:szCs w:val="24"/>
                <w:shd w:val="clear" w:color="auto" w:fill="FFFFFF"/>
              </w:rPr>
              <w:t xml:space="preserve"> and his wife have translated Naoki's book so that it might help others dealing with autism and generally illuminate a little-understood condition. It gives us an exceptional chance to enter the mind of another and see the world from a strange and fascinating </w:t>
            </w:r>
            <w:proofErr w:type="spellStart"/>
            <w:proofErr w:type="gramStart"/>
            <w:r w:rsidRPr="00606C84">
              <w:rPr>
                <w:rFonts w:ascii="Source Sans Pro" w:hAnsi="Source Sans Pro"/>
                <w:color w:val="0D0D0D" w:themeColor="text1" w:themeTint="F2"/>
                <w:spacing w:val="7"/>
                <w:sz w:val="24"/>
                <w:szCs w:val="24"/>
                <w:shd w:val="clear" w:color="auto" w:fill="FFFFFF"/>
              </w:rPr>
              <w:t>perspective.The</w:t>
            </w:r>
            <w:proofErr w:type="spellEnd"/>
            <w:proofErr w:type="gramEnd"/>
            <w:r w:rsidRPr="00606C84">
              <w:rPr>
                <w:rFonts w:ascii="Source Sans Pro" w:hAnsi="Source Sans Pro"/>
                <w:color w:val="0D0D0D" w:themeColor="text1" w:themeTint="F2"/>
                <w:spacing w:val="7"/>
                <w:sz w:val="24"/>
                <w:szCs w:val="24"/>
                <w:shd w:val="clear" w:color="auto" w:fill="FFFFFF"/>
              </w:rPr>
              <w:t xml:space="preserve"> book also features eleven original illustrations, inspired by Naoki's words, by the artistic duo Kai and Sunny.</w:t>
            </w:r>
          </w:p>
        </w:tc>
      </w:tr>
    </w:tbl>
    <w:p w14:paraId="1C76E45F" w14:textId="1E726078" w:rsidR="00C96B26" w:rsidRPr="00606C84" w:rsidRDefault="00C96B26">
      <w:pPr>
        <w:rPr>
          <w:color w:val="0D0D0D" w:themeColor="text1" w:themeTint="F2"/>
          <w:sz w:val="32"/>
          <w:szCs w:val="32"/>
        </w:rPr>
      </w:pPr>
    </w:p>
    <w:sectPr w:rsidR="00C96B26" w:rsidRPr="00606C84" w:rsidSect="00AA38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455F38"/>
    <w:rsid w:val="00592FA2"/>
    <w:rsid w:val="005C2ADA"/>
    <w:rsid w:val="00606C84"/>
    <w:rsid w:val="007E5C02"/>
    <w:rsid w:val="0082039C"/>
    <w:rsid w:val="00832662"/>
    <w:rsid w:val="008D477B"/>
    <w:rsid w:val="008F6C26"/>
    <w:rsid w:val="00920585"/>
    <w:rsid w:val="009352F5"/>
    <w:rsid w:val="009A59F1"/>
    <w:rsid w:val="009D0BFB"/>
    <w:rsid w:val="00AA38F4"/>
    <w:rsid w:val="00AD03F7"/>
    <w:rsid w:val="00AF4C1A"/>
    <w:rsid w:val="00B245FA"/>
    <w:rsid w:val="00B52E0D"/>
    <w:rsid w:val="00C96B26"/>
    <w:rsid w:val="00D82E37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38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AA38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ook-title">
    <w:name w:val="book-title"/>
    <w:basedOn w:val="DefaultParagraphFont"/>
    <w:rsid w:val="00AA38F4"/>
  </w:style>
  <w:style w:type="character" w:styleId="Hyperlink">
    <w:name w:val="Hyperlink"/>
    <w:basedOn w:val="DefaultParagraphFont"/>
    <w:uiPriority w:val="99"/>
    <w:semiHidden/>
    <w:unhideWhenUsed/>
    <w:rsid w:val="00AA38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waterstones.com/author/david-mitchell/36771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Amy Cushing (Kenwood)</cp:lastModifiedBy>
  <cp:revision>4</cp:revision>
  <cp:lastPrinted>2025-01-21T08:24:00Z</cp:lastPrinted>
  <dcterms:created xsi:type="dcterms:W3CDTF">2025-01-21T08:34:00Z</dcterms:created>
  <dcterms:modified xsi:type="dcterms:W3CDTF">2025-02-13T12:31:00Z</dcterms:modified>
</cp:coreProperties>
</file>